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9D" w:rsidRDefault="00EC499D" w:rsidP="00511BA9">
      <w:pPr>
        <w:spacing w:line="480" w:lineRule="auto"/>
        <w:rPr>
          <w:b/>
          <w:sz w:val="24"/>
          <w:szCs w:val="24"/>
        </w:rPr>
      </w:pPr>
    </w:p>
    <w:p w:rsidR="00EC499D" w:rsidRDefault="00EC499D" w:rsidP="00511BA9">
      <w:pPr>
        <w:spacing w:line="480" w:lineRule="auto"/>
        <w:rPr>
          <w:b/>
          <w:sz w:val="24"/>
          <w:szCs w:val="24"/>
        </w:rPr>
      </w:pPr>
    </w:p>
    <w:p w:rsidR="00EC499D" w:rsidRDefault="00EC499D" w:rsidP="00511BA9">
      <w:pPr>
        <w:spacing w:line="480" w:lineRule="auto"/>
        <w:rPr>
          <w:b/>
          <w:sz w:val="24"/>
          <w:szCs w:val="24"/>
        </w:rPr>
      </w:pPr>
      <w:bookmarkStart w:id="0" w:name="_GoBack"/>
      <w:bookmarkEnd w:id="0"/>
    </w:p>
    <w:p w:rsidR="00EC499D" w:rsidRPr="00D8546A" w:rsidRDefault="00EC499D" w:rsidP="00EC499D">
      <w:pPr>
        <w:spacing w:after="0" w:line="480" w:lineRule="auto"/>
        <w:jc w:val="center"/>
        <w:rPr>
          <w:rFonts w:ascii="Times" w:hAnsi="Times"/>
          <w:sz w:val="24"/>
          <w:szCs w:val="24"/>
        </w:rPr>
      </w:pPr>
      <w:r w:rsidRPr="00D8546A">
        <w:rPr>
          <w:rFonts w:ascii="Times" w:hAnsi="Times"/>
          <w:sz w:val="24"/>
          <w:szCs w:val="24"/>
        </w:rPr>
        <w:t>Stepan Company</w:t>
      </w:r>
    </w:p>
    <w:p w:rsidR="00EC499D" w:rsidRPr="00D8546A" w:rsidRDefault="00EC499D" w:rsidP="00EC499D">
      <w:pPr>
        <w:spacing w:after="0" w:line="480" w:lineRule="auto"/>
        <w:jc w:val="center"/>
        <w:rPr>
          <w:rFonts w:ascii="Times" w:hAnsi="Times"/>
          <w:sz w:val="24"/>
          <w:szCs w:val="24"/>
        </w:rPr>
      </w:pPr>
      <w:r>
        <w:rPr>
          <w:rFonts w:ascii="Times" w:hAnsi="Times"/>
          <w:sz w:val="24"/>
          <w:szCs w:val="24"/>
        </w:rPr>
        <w:t>Sam Fafinski, Obed Jean-Bap</w:t>
      </w:r>
      <w:r w:rsidRPr="00D8546A">
        <w:rPr>
          <w:rFonts w:ascii="Times" w:hAnsi="Times"/>
          <w:sz w:val="24"/>
          <w:szCs w:val="24"/>
        </w:rPr>
        <w:t>tist</w:t>
      </w:r>
      <w:r>
        <w:rPr>
          <w:rFonts w:ascii="Times" w:hAnsi="Times"/>
          <w:sz w:val="24"/>
          <w:szCs w:val="24"/>
        </w:rPr>
        <w:t>e, Jacob</w:t>
      </w:r>
      <w:r w:rsidRPr="00D8546A">
        <w:rPr>
          <w:rFonts w:ascii="Times" w:hAnsi="Times"/>
          <w:sz w:val="24"/>
          <w:szCs w:val="24"/>
        </w:rPr>
        <w:t xml:space="preserve"> Carrigan</w:t>
      </w:r>
    </w:p>
    <w:p w:rsidR="00EC499D" w:rsidRPr="00D8546A" w:rsidRDefault="00EC499D" w:rsidP="00EC499D">
      <w:pPr>
        <w:spacing w:after="0" w:line="480" w:lineRule="auto"/>
        <w:jc w:val="center"/>
        <w:rPr>
          <w:rFonts w:ascii="Times" w:hAnsi="Times"/>
          <w:sz w:val="24"/>
          <w:szCs w:val="24"/>
        </w:rPr>
      </w:pPr>
      <w:r w:rsidRPr="00D8546A">
        <w:rPr>
          <w:rFonts w:ascii="Times" w:hAnsi="Times"/>
          <w:sz w:val="24"/>
          <w:szCs w:val="24"/>
        </w:rPr>
        <w:t>12/7/16</w:t>
      </w:r>
    </w:p>
    <w:p w:rsidR="00EC499D" w:rsidRPr="00D8546A" w:rsidRDefault="00EC499D" w:rsidP="00EC499D">
      <w:pPr>
        <w:spacing w:after="0" w:line="480" w:lineRule="auto"/>
        <w:jc w:val="center"/>
        <w:rPr>
          <w:rFonts w:ascii="Times" w:hAnsi="Times"/>
          <w:sz w:val="24"/>
          <w:szCs w:val="24"/>
        </w:rPr>
      </w:pPr>
      <w:r w:rsidRPr="00D8546A">
        <w:rPr>
          <w:rFonts w:ascii="Times" w:hAnsi="Times"/>
          <w:sz w:val="24"/>
          <w:szCs w:val="24"/>
        </w:rPr>
        <w:t>Dr. Schrenk</w:t>
      </w:r>
    </w:p>
    <w:p w:rsidR="00EC499D" w:rsidRDefault="00EC499D" w:rsidP="00EC499D">
      <w:pPr>
        <w:spacing w:after="0" w:line="480" w:lineRule="auto"/>
        <w:jc w:val="center"/>
        <w:rPr>
          <w:rFonts w:ascii="Times" w:hAnsi="Times"/>
          <w:sz w:val="24"/>
          <w:szCs w:val="24"/>
        </w:rPr>
      </w:pPr>
      <w:r w:rsidRPr="00D8546A">
        <w:rPr>
          <w:rFonts w:ascii="Times" w:hAnsi="Times"/>
          <w:sz w:val="24"/>
          <w:szCs w:val="24"/>
        </w:rPr>
        <w:t>FIN 422 Portfolio Theory and Security Evaluation</w:t>
      </w:r>
    </w:p>
    <w:p w:rsidR="00EC499D" w:rsidRDefault="00EC499D" w:rsidP="00511BA9">
      <w:pPr>
        <w:spacing w:line="480" w:lineRule="auto"/>
        <w:rPr>
          <w:b/>
          <w:sz w:val="24"/>
          <w:szCs w:val="24"/>
        </w:rPr>
      </w:pPr>
    </w:p>
    <w:p w:rsidR="00EC499D" w:rsidRDefault="00EC499D" w:rsidP="00511BA9">
      <w:pPr>
        <w:spacing w:line="480" w:lineRule="auto"/>
        <w:rPr>
          <w:b/>
          <w:sz w:val="24"/>
          <w:szCs w:val="24"/>
        </w:rPr>
      </w:pPr>
    </w:p>
    <w:p w:rsidR="00EC499D" w:rsidRDefault="00EC499D" w:rsidP="00511BA9">
      <w:pPr>
        <w:spacing w:line="480" w:lineRule="auto"/>
        <w:rPr>
          <w:b/>
          <w:sz w:val="24"/>
          <w:szCs w:val="24"/>
        </w:rPr>
      </w:pPr>
    </w:p>
    <w:p w:rsidR="00EC499D" w:rsidRDefault="00EC499D" w:rsidP="00511BA9">
      <w:pPr>
        <w:spacing w:line="480" w:lineRule="auto"/>
        <w:rPr>
          <w:b/>
          <w:sz w:val="24"/>
          <w:szCs w:val="24"/>
        </w:rPr>
      </w:pPr>
    </w:p>
    <w:p w:rsidR="00EC499D" w:rsidRDefault="00EC499D" w:rsidP="00511BA9">
      <w:pPr>
        <w:spacing w:line="480" w:lineRule="auto"/>
        <w:rPr>
          <w:b/>
          <w:sz w:val="24"/>
          <w:szCs w:val="24"/>
        </w:rPr>
      </w:pPr>
    </w:p>
    <w:p w:rsidR="00EC499D" w:rsidRDefault="00EC499D" w:rsidP="00511BA9">
      <w:pPr>
        <w:spacing w:line="480" w:lineRule="auto"/>
        <w:rPr>
          <w:b/>
          <w:sz w:val="24"/>
          <w:szCs w:val="24"/>
        </w:rPr>
      </w:pPr>
    </w:p>
    <w:p w:rsidR="00EC499D" w:rsidRDefault="00EC499D" w:rsidP="00511BA9">
      <w:pPr>
        <w:spacing w:line="480" w:lineRule="auto"/>
        <w:rPr>
          <w:b/>
          <w:sz w:val="24"/>
          <w:szCs w:val="24"/>
        </w:rPr>
      </w:pPr>
    </w:p>
    <w:p w:rsidR="00EC499D" w:rsidRDefault="00EC499D" w:rsidP="00511BA9">
      <w:pPr>
        <w:spacing w:line="480" w:lineRule="auto"/>
        <w:rPr>
          <w:b/>
          <w:sz w:val="24"/>
          <w:szCs w:val="24"/>
        </w:rPr>
      </w:pPr>
    </w:p>
    <w:p w:rsidR="00EC499D" w:rsidRDefault="00EC499D" w:rsidP="00511BA9">
      <w:pPr>
        <w:spacing w:line="480" w:lineRule="auto"/>
        <w:rPr>
          <w:b/>
          <w:sz w:val="24"/>
          <w:szCs w:val="24"/>
        </w:rPr>
      </w:pPr>
    </w:p>
    <w:p w:rsidR="00EC499D" w:rsidRDefault="00EC499D" w:rsidP="00511BA9">
      <w:pPr>
        <w:spacing w:line="480" w:lineRule="auto"/>
        <w:rPr>
          <w:b/>
          <w:sz w:val="24"/>
          <w:szCs w:val="24"/>
        </w:rPr>
      </w:pPr>
    </w:p>
    <w:p w:rsidR="00EC499D" w:rsidRDefault="00EC499D" w:rsidP="00511BA9">
      <w:pPr>
        <w:spacing w:line="480" w:lineRule="auto"/>
        <w:rPr>
          <w:b/>
          <w:sz w:val="24"/>
          <w:szCs w:val="24"/>
        </w:rPr>
      </w:pPr>
    </w:p>
    <w:p w:rsidR="0094632D" w:rsidRPr="00E22DE4" w:rsidRDefault="0094632D" w:rsidP="00511BA9">
      <w:pPr>
        <w:spacing w:line="480" w:lineRule="auto"/>
        <w:rPr>
          <w:b/>
          <w:sz w:val="24"/>
          <w:szCs w:val="24"/>
        </w:rPr>
      </w:pPr>
      <w:r w:rsidRPr="00E22DE4">
        <w:rPr>
          <w:b/>
          <w:sz w:val="24"/>
          <w:szCs w:val="24"/>
        </w:rPr>
        <w:lastRenderedPageBreak/>
        <w:t>Investment Summary</w:t>
      </w:r>
    </w:p>
    <w:p w:rsidR="00EA4D76" w:rsidRPr="00511BA9" w:rsidRDefault="00EA4D76" w:rsidP="00511BA9">
      <w:pPr>
        <w:spacing w:line="480" w:lineRule="auto"/>
        <w:rPr>
          <w:sz w:val="24"/>
          <w:szCs w:val="24"/>
        </w:rPr>
      </w:pPr>
      <w:r w:rsidRPr="00511BA9">
        <w:rPr>
          <w:sz w:val="24"/>
          <w:szCs w:val="24"/>
        </w:rPr>
        <w:t>Stepan Company was founded in 1932 by Alfred C. Stepan Jr. and is currently headquartered in Northfield, Illinois with approximately 1</w:t>
      </w:r>
      <w:r w:rsidR="001E1D66">
        <w:rPr>
          <w:sz w:val="24"/>
          <w:szCs w:val="24"/>
        </w:rPr>
        <w:t>800</w:t>
      </w:r>
      <w:r w:rsidRPr="00511BA9">
        <w:rPr>
          <w:sz w:val="24"/>
          <w:szCs w:val="24"/>
        </w:rPr>
        <w:t xml:space="preserve"> employees. Stepan manufactures basic and intermediate chemicals, including surfactants which acco</w:t>
      </w:r>
      <w:r w:rsidR="00746B1A">
        <w:rPr>
          <w:sz w:val="24"/>
          <w:szCs w:val="24"/>
        </w:rPr>
        <w:t>rding to their self-description</w:t>
      </w:r>
      <w:r w:rsidRPr="00511BA9">
        <w:rPr>
          <w:sz w:val="24"/>
          <w:szCs w:val="24"/>
        </w:rPr>
        <w:t xml:space="preserve"> they are the</w:t>
      </w:r>
      <w:r w:rsidR="00746B1A">
        <w:rPr>
          <w:sz w:val="24"/>
          <w:szCs w:val="24"/>
        </w:rPr>
        <w:t xml:space="preserve"> largest global manufacturer of,</w:t>
      </w:r>
      <w:r w:rsidRPr="00511BA9">
        <w:rPr>
          <w:sz w:val="24"/>
          <w:szCs w:val="24"/>
        </w:rPr>
        <w:t xml:space="preserve"> specialty products, germicidal and fabric softening quaternaries, phthalic anhydride (P.A.), polyurethane polyols and special ingredients for the food, supplement and pharmaceutical markets.  Recently, Stepan has been focusing on mergers and acquisitions as part of their strategy is to acquire new firms and generate half of their sales from acquisitions both domestic and international. That being said, on July 20</w:t>
      </w:r>
      <w:r w:rsidRPr="00511BA9">
        <w:rPr>
          <w:sz w:val="24"/>
          <w:szCs w:val="24"/>
          <w:vertAlign w:val="superscript"/>
        </w:rPr>
        <w:t>th</w:t>
      </w:r>
      <w:r w:rsidRPr="00511BA9">
        <w:rPr>
          <w:sz w:val="24"/>
          <w:szCs w:val="24"/>
        </w:rPr>
        <w:t xml:space="preserve"> 2016 Stepan announce its agreement to acquire a </w:t>
      </w:r>
      <w:r w:rsidR="005D7805" w:rsidRPr="00511BA9">
        <w:rPr>
          <w:sz w:val="24"/>
          <w:szCs w:val="24"/>
        </w:rPr>
        <w:t xml:space="preserve">commercial business from Tebras and a </w:t>
      </w:r>
      <w:r w:rsidRPr="00511BA9">
        <w:rPr>
          <w:sz w:val="24"/>
          <w:szCs w:val="24"/>
        </w:rPr>
        <w:t>sulfonatio</w:t>
      </w:r>
      <w:r w:rsidR="005D7805" w:rsidRPr="00511BA9">
        <w:rPr>
          <w:sz w:val="24"/>
          <w:szCs w:val="24"/>
        </w:rPr>
        <w:t>n production facility from PBD in Brazil with a combined annual sale amount of approximately $32 million dollars and a capacity of 25,000 metric tons of sulfonation production. President and CEO Quinn Stepan Jr. expects the acquisition to expand and diversify their customer base for</w:t>
      </w:r>
      <w:r w:rsidR="00511BA9" w:rsidRPr="00511BA9">
        <w:rPr>
          <w:sz w:val="24"/>
          <w:szCs w:val="24"/>
        </w:rPr>
        <w:t xml:space="preserve"> not only</w:t>
      </w:r>
      <w:r w:rsidR="005D7805" w:rsidRPr="00511BA9">
        <w:rPr>
          <w:sz w:val="24"/>
          <w:szCs w:val="24"/>
        </w:rPr>
        <w:t xml:space="preserve"> sulfonated products in Brazil but also provide an opportunity to broaden their surfactant portfolio to more than 1200 new customers. </w:t>
      </w:r>
    </w:p>
    <w:p w:rsidR="0094632D" w:rsidRPr="00511BA9" w:rsidRDefault="00FC436A" w:rsidP="00511BA9">
      <w:pPr>
        <w:spacing w:line="480" w:lineRule="auto"/>
        <w:rPr>
          <w:sz w:val="24"/>
          <w:szCs w:val="24"/>
        </w:rPr>
      </w:pPr>
      <w:r w:rsidRPr="00511BA9">
        <w:rPr>
          <w:sz w:val="24"/>
          <w:szCs w:val="24"/>
        </w:rPr>
        <w:tab/>
        <w:t xml:space="preserve">We have evaluated and </w:t>
      </w:r>
      <w:r w:rsidR="000F446E" w:rsidRPr="00511BA9">
        <w:rPr>
          <w:sz w:val="24"/>
          <w:szCs w:val="24"/>
        </w:rPr>
        <w:t>forecasted the earnings</w:t>
      </w:r>
      <w:r w:rsidRPr="00511BA9">
        <w:rPr>
          <w:sz w:val="24"/>
          <w:szCs w:val="24"/>
        </w:rPr>
        <w:t xml:space="preserve"> for Stepan Company both from a quarterly perspective as well as a yearly perspective. Evaluating the quarterly earnings, we noticed that Stepan this year (2016) has had the highest quarterly earnings</w:t>
      </w:r>
      <w:r w:rsidR="000F446E" w:rsidRPr="00511BA9">
        <w:rPr>
          <w:sz w:val="24"/>
          <w:szCs w:val="24"/>
        </w:rPr>
        <w:t xml:space="preserve"> for quarters one and two</w:t>
      </w:r>
      <w:r w:rsidRPr="00511BA9">
        <w:rPr>
          <w:sz w:val="24"/>
          <w:szCs w:val="24"/>
        </w:rPr>
        <w:t xml:space="preserve"> beating the six year </w:t>
      </w:r>
      <w:r w:rsidR="00A118BD" w:rsidRPr="00511BA9">
        <w:rPr>
          <w:sz w:val="24"/>
          <w:szCs w:val="24"/>
        </w:rPr>
        <w:t>Quarter one and two</w:t>
      </w:r>
      <w:r w:rsidR="00F750C7" w:rsidRPr="00511BA9">
        <w:rPr>
          <w:sz w:val="24"/>
          <w:szCs w:val="24"/>
        </w:rPr>
        <w:t xml:space="preserve"> </w:t>
      </w:r>
      <w:r w:rsidRPr="00511BA9">
        <w:rPr>
          <w:sz w:val="24"/>
          <w:szCs w:val="24"/>
        </w:rPr>
        <w:t xml:space="preserve">average by </w:t>
      </w:r>
      <w:r w:rsidR="00F750C7" w:rsidRPr="00511BA9">
        <w:rPr>
          <w:sz w:val="24"/>
          <w:szCs w:val="24"/>
        </w:rPr>
        <w:t>$8.5</w:t>
      </w:r>
      <w:r w:rsidR="000F446E" w:rsidRPr="00511BA9">
        <w:rPr>
          <w:sz w:val="24"/>
          <w:szCs w:val="24"/>
        </w:rPr>
        <w:t xml:space="preserve"> </w:t>
      </w:r>
      <w:r w:rsidR="004861DA">
        <w:rPr>
          <w:sz w:val="24"/>
          <w:szCs w:val="24"/>
        </w:rPr>
        <w:t>million</w:t>
      </w:r>
      <w:r w:rsidR="000F446E" w:rsidRPr="00511BA9">
        <w:rPr>
          <w:sz w:val="24"/>
          <w:szCs w:val="24"/>
        </w:rPr>
        <w:t xml:space="preserve"> and $</w:t>
      </w:r>
      <w:r w:rsidR="00F750C7" w:rsidRPr="00511BA9">
        <w:rPr>
          <w:sz w:val="24"/>
          <w:szCs w:val="24"/>
        </w:rPr>
        <w:t>7.3</w:t>
      </w:r>
      <w:r w:rsidR="000F446E" w:rsidRPr="00511BA9">
        <w:rPr>
          <w:sz w:val="24"/>
          <w:szCs w:val="24"/>
        </w:rPr>
        <w:t xml:space="preserve"> </w:t>
      </w:r>
      <w:r w:rsidR="004861DA">
        <w:rPr>
          <w:sz w:val="24"/>
          <w:szCs w:val="24"/>
        </w:rPr>
        <w:t>million</w:t>
      </w:r>
      <w:r w:rsidR="000F446E" w:rsidRPr="00511BA9">
        <w:rPr>
          <w:sz w:val="24"/>
          <w:szCs w:val="24"/>
        </w:rPr>
        <w:t xml:space="preserve"> </w:t>
      </w:r>
      <w:r w:rsidR="00F750C7" w:rsidRPr="00511BA9">
        <w:rPr>
          <w:sz w:val="24"/>
          <w:szCs w:val="24"/>
        </w:rPr>
        <w:t>dollars respectively. It</w:t>
      </w:r>
      <w:r w:rsidR="00FE7BCD" w:rsidRPr="00511BA9">
        <w:rPr>
          <w:sz w:val="24"/>
          <w:szCs w:val="24"/>
        </w:rPr>
        <w:t>s</w:t>
      </w:r>
      <w:r w:rsidR="00F750C7" w:rsidRPr="00511BA9">
        <w:rPr>
          <w:sz w:val="24"/>
          <w:szCs w:val="24"/>
        </w:rPr>
        <w:t xml:space="preserve"> third quarter earnings are on par with the average while a forecast of quarter 4</w:t>
      </w:r>
      <w:r w:rsidR="00A118BD" w:rsidRPr="00511BA9">
        <w:rPr>
          <w:sz w:val="24"/>
          <w:szCs w:val="24"/>
        </w:rPr>
        <w:t>’s earnings would forecast the</w:t>
      </w:r>
      <w:r w:rsidR="00FE7BCD" w:rsidRPr="00511BA9">
        <w:rPr>
          <w:sz w:val="24"/>
          <w:szCs w:val="24"/>
        </w:rPr>
        <w:t xml:space="preserve"> total earnings of 2016 at $90.5 </w:t>
      </w:r>
      <w:r w:rsidR="004861DA">
        <w:rPr>
          <w:sz w:val="24"/>
          <w:szCs w:val="24"/>
        </w:rPr>
        <w:t>million</w:t>
      </w:r>
      <w:r w:rsidR="00FE7BCD" w:rsidRPr="00511BA9">
        <w:rPr>
          <w:sz w:val="24"/>
          <w:szCs w:val="24"/>
        </w:rPr>
        <w:t xml:space="preserve"> dollars. Also the highest in the past six years. Taking a look even further into 2017 and we have quarterly earnings that are forecasted to be above their respective average</w:t>
      </w:r>
      <w:r w:rsidR="00402656" w:rsidRPr="00511BA9">
        <w:rPr>
          <w:sz w:val="24"/>
          <w:szCs w:val="24"/>
        </w:rPr>
        <w:t>s</w:t>
      </w:r>
      <w:r w:rsidR="00FE7BCD" w:rsidRPr="00511BA9">
        <w:rPr>
          <w:sz w:val="24"/>
          <w:szCs w:val="24"/>
        </w:rPr>
        <w:t xml:space="preserve"> totaling to a yearly forecast of $82.3 </w:t>
      </w:r>
      <w:r w:rsidR="004861DA">
        <w:rPr>
          <w:sz w:val="24"/>
          <w:szCs w:val="24"/>
        </w:rPr>
        <w:t xml:space="preserve">million </w:t>
      </w:r>
      <w:r w:rsidR="00FE7BCD" w:rsidRPr="00511BA9">
        <w:rPr>
          <w:sz w:val="24"/>
          <w:szCs w:val="24"/>
        </w:rPr>
        <w:t xml:space="preserve">dollars which would be the second highest in the last six years assuming our fourth quarter forecast </w:t>
      </w:r>
      <w:r w:rsidR="00402656" w:rsidRPr="00511BA9">
        <w:rPr>
          <w:sz w:val="24"/>
          <w:szCs w:val="24"/>
        </w:rPr>
        <w:t xml:space="preserve">for 2016 </w:t>
      </w:r>
      <w:r w:rsidR="00FE7BCD" w:rsidRPr="00511BA9">
        <w:rPr>
          <w:sz w:val="24"/>
          <w:szCs w:val="24"/>
        </w:rPr>
        <w:t xml:space="preserve">is correct or a minimum earning of </w:t>
      </w:r>
      <w:r w:rsidR="00402656" w:rsidRPr="00511BA9">
        <w:rPr>
          <w:sz w:val="24"/>
          <w:szCs w:val="24"/>
        </w:rPr>
        <w:t xml:space="preserve">$3.5 </w:t>
      </w:r>
      <w:r w:rsidR="004861DA">
        <w:rPr>
          <w:sz w:val="24"/>
          <w:szCs w:val="24"/>
        </w:rPr>
        <w:t>million</w:t>
      </w:r>
      <w:r w:rsidR="00402656" w:rsidRPr="00511BA9">
        <w:rPr>
          <w:sz w:val="24"/>
          <w:szCs w:val="24"/>
        </w:rPr>
        <w:t xml:space="preserve"> dollars during this quarter which is well below the quarter four average of </w:t>
      </w:r>
    </w:p>
    <w:p w:rsidR="00FC436A" w:rsidRDefault="00402656" w:rsidP="00511BA9">
      <w:pPr>
        <w:spacing w:line="480" w:lineRule="auto"/>
        <w:rPr>
          <w:sz w:val="24"/>
          <w:szCs w:val="24"/>
        </w:rPr>
      </w:pPr>
      <w:r w:rsidRPr="00511BA9">
        <w:rPr>
          <w:sz w:val="24"/>
          <w:szCs w:val="24"/>
        </w:rPr>
        <w:lastRenderedPageBreak/>
        <w:t xml:space="preserve">$11.1 </w:t>
      </w:r>
      <w:r w:rsidR="004861DA">
        <w:rPr>
          <w:sz w:val="24"/>
          <w:szCs w:val="24"/>
        </w:rPr>
        <w:t>million</w:t>
      </w:r>
      <w:r w:rsidRPr="00511BA9">
        <w:rPr>
          <w:sz w:val="24"/>
          <w:szCs w:val="24"/>
        </w:rPr>
        <w:t>.</w:t>
      </w:r>
    </w:p>
    <w:tbl>
      <w:tblPr>
        <w:tblStyle w:val="TableGrid"/>
        <w:tblpPr w:leftFromText="180" w:rightFromText="180" w:vertAnchor="text" w:horzAnchor="margin" w:tblpY="6740"/>
        <w:tblW w:w="0" w:type="auto"/>
        <w:tblLook w:val="04A0" w:firstRow="1" w:lastRow="0" w:firstColumn="1" w:lastColumn="0" w:noHBand="0" w:noVBand="1"/>
      </w:tblPr>
      <w:tblGrid>
        <w:gridCol w:w="1900"/>
        <w:gridCol w:w="1220"/>
      </w:tblGrid>
      <w:tr w:rsidR="0094632D" w:rsidRPr="00BE4567" w:rsidTr="0094632D">
        <w:trPr>
          <w:trHeight w:val="300"/>
        </w:trPr>
        <w:tc>
          <w:tcPr>
            <w:tcW w:w="1900" w:type="dxa"/>
            <w:noWrap/>
            <w:hideMark/>
          </w:tcPr>
          <w:p w:rsidR="0094632D" w:rsidRPr="00BE4567" w:rsidRDefault="0094632D" w:rsidP="0094632D">
            <w:pPr>
              <w:jc w:val="center"/>
              <w:rPr>
                <w:noProof/>
              </w:rPr>
            </w:pPr>
            <w:r w:rsidRPr="00BE4567">
              <w:rPr>
                <w:noProof/>
              </w:rPr>
              <w:t>2017 Q1 forecast</w:t>
            </w:r>
          </w:p>
        </w:tc>
        <w:tc>
          <w:tcPr>
            <w:tcW w:w="1220" w:type="dxa"/>
            <w:noWrap/>
            <w:hideMark/>
          </w:tcPr>
          <w:p w:rsidR="0094632D" w:rsidRPr="00BE4567" w:rsidRDefault="0094632D" w:rsidP="0094632D">
            <w:pPr>
              <w:jc w:val="center"/>
              <w:rPr>
                <w:noProof/>
              </w:rPr>
            </w:pPr>
            <w:r w:rsidRPr="00BE4567">
              <w:rPr>
                <w:noProof/>
              </w:rPr>
              <w:t xml:space="preserve"> $  22,534.16 </w:t>
            </w:r>
          </w:p>
        </w:tc>
      </w:tr>
      <w:tr w:rsidR="0094632D" w:rsidRPr="00BE4567" w:rsidTr="0094632D">
        <w:trPr>
          <w:trHeight w:val="300"/>
        </w:trPr>
        <w:tc>
          <w:tcPr>
            <w:tcW w:w="1900" w:type="dxa"/>
            <w:noWrap/>
            <w:hideMark/>
          </w:tcPr>
          <w:p w:rsidR="0094632D" w:rsidRPr="00BE4567" w:rsidRDefault="0094632D" w:rsidP="0094632D">
            <w:pPr>
              <w:jc w:val="center"/>
              <w:rPr>
                <w:noProof/>
              </w:rPr>
            </w:pPr>
            <w:r w:rsidRPr="00BE4567">
              <w:rPr>
                <w:noProof/>
              </w:rPr>
              <w:t>2017 Q2 forecast</w:t>
            </w:r>
          </w:p>
        </w:tc>
        <w:tc>
          <w:tcPr>
            <w:tcW w:w="1220" w:type="dxa"/>
            <w:noWrap/>
            <w:hideMark/>
          </w:tcPr>
          <w:p w:rsidR="0094632D" w:rsidRPr="00BE4567" w:rsidRDefault="0094632D" w:rsidP="0094632D">
            <w:pPr>
              <w:jc w:val="center"/>
              <w:rPr>
                <w:noProof/>
              </w:rPr>
            </w:pPr>
            <w:r w:rsidRPr="00BE4567">
              <w:rPr>
                <w:noProof/>
              </w:rPr>
              <w:t xml:space="preserve"> $  22,291.77 </w:t>
            </w:r>
          </w:p>
        </w:tc>
      </w:tr>
      <w:tr w:rsidR="0094632D" w:rsidRPr="00BE4567" w:rsidTr="0094632D">
        <w:trPr>
          <w:trHeight w:val="300"/>
        </w:trPr>
        <w:tc>
          <w:tcPr>
            <w:tcW w:w="1900" w:type="dxa"/>
            <w:noWrap/>
            <w:hideMark/>
          </w:tcPr>
          <w:p w:rsidR="0094632D" w:rsidRPr="00BE4567" w:rsidRDefault="0094632D" w:rsidP="0094632D">
            <w:pPr>
              <w:jc w:val="center"/>
              <w:rPr>
                <w:noProof/>
              </w:rPr>
            </w:pPr>
            <w:r w:rsidRPr="00BE4567">
              <w:rPr>
                <w:noProof/>
              </w:rPr>
              <w:t>2017 Q3 forecast</w:t>
            </w:r>
          </w:p>
        </w:tc>
        <w:tc>
          <w:tcPr>
            <w:tcW w:w="1220" w:type="dxa"/>
            <w:noWrap/>
            <w:hideMark/>
          </w:tcPr>
          <w:p w:rsidR="0094632D" w:rsidRPr="00BE4567" w:rsidRDefault="0094632D" w:rsidP="0094632D">
            <w:pPr>
              <w:jc w:val="center"/>
              <w:rPr>
                <w:noProof/>
              </w:rPr>
            </w:pPr>
            <w:r w:rsidRPr="00BE4567">
              <w:rPr>
                <w:noProof/>
              </w:rPr>
              <w:t xml:space="preserve"> $  22,459.10 </w:t>
            </w:r>
          </w:p>
        </w:tc>
      </w:tr>
      <w:tr w:rsidR="0094632D" w:rsidRPr="00BE4567" w:rsidTr="0094632D">
        <w:trPr>
          <w:trHeight w:val="300"/>
        </w:trPr>
        <w:tc>
          <w:tcPr>
            <w:tcW w:w="1900" w:type="dxa"/>
            <w:noWrap/>
            <w:hideMark/>
          </w:tcPr>
          <w:p w:rsidR="0094632D" w:rsidRPr="00BE4567" w:rsidRDefault="0094632D" w:rsidP="0094632D">
            <w:pPr>
              <w:jc w:val="center"/>
              <w:rPr>
                <w:noProof/>
              </w:rPr>
            </w:pPr>
            <w:r w:rsidRPr="00BE4567">
              <w:rPr>
                <w:noProof/>
              </w:rPr>
              <w:t>2017Q4 forecast</w:t>
            </w:r>
          </w:p>
        </w:tc>
        <w:tc>
          <w:tcPr>
            <w:tcW w:w="1220" w:type="dxa"/>
            <w:noWrap/>
            <w:hideMark/>
          </w:tcPr>
          <w:p w:rsidR="0094632D" w:rsidRPr="00BE4567" w:rsidRDefault="0094632D" w:rsidP="0094632D">
            <w:pPr>
              <w:jc w:val="center"/>
              <w:rPr>
                <w:noProof/>
              </w:rPr>
            </w:pPr>
            <w:r w:rsidRPr="00BE4567">
              <w:rPr>
                <w:noProof/>
              </w:rPr>
              <w:t xml:space="preserve"> $  15,012.08 </w:t>
            </w:r>
          </w:p>
        </w:tc>
      </w:tr>
      <w:tr w:rsidR="0094632D" w:rsidRPr="00BE4567" w:rsidTr="0094632D">
        <w:trPr>
          <w:trHeight w:val="300"/>
        </w:trPr>
        <w:tc>
          <w:tcPr>
            <w:tcW w:w="1900" w:type="dxa"/>
            <w:noWrap/>
            <w:hideMark/>
          </w:tcPr>
          <w:p w:rsidR="0094632D" w:rsidRPr="00BE4567" w:rsidRDefault="0094632D" w:rsidP="0094632D">
            <w:pPr>
              <w:jc w:val="center"/>
              <w:rPr>
                <w:noProof/>
              </w:rPr>
            </w:pPr>
            <w:r w:rsidRPr="00BE4567">
              <w:rPr>
                <w:noProof/>
              </w:rPr>
              <w:t>2017 yearly forecast</w:t>
            </w:r>
          </w:p>
        </w:tc>
        <w:tc>
          <w:tcPr>
            <w:tcW w:w="1220" w:type="dxa"/>
            <w:noWrap/>
            <w:hideMark/>
          </w:tcPr>
          <w:p w:rsidR="0094632D" w:rsidRPr="00BE4567" w:rsidRDefault="0094632D" w:rsidP="0094632D">
            <w:pPr>
              <w:jc w:val="center"/>
              <w:rPr>
                <w:noProof/>
              </w:rPr>
            </w:pPr>
            <w:r w:rsidRPr="00BE4567">
              <w:rPr>
                <w:noProof/>
              </w:rPr>
              <w:t xml:space="preserve"> $  82,297.11 </w:t>
            </w:r>
          </w:p>
        </w:tc>
      </w:tr>
    </w:tbl>
    <w:tbl>
      <w:tblPr>
        <w:tblStyle w:val="TableGrid"/>
        <w:tblpPr w:leftFromText="180" w:rightFromText="180" w:vertAnchor="text" w:horzAnchor="margin" w:tblpXSpec="center" w:tblpY="7205"/>
        <w:tblW w:w="0" w:type="auto"/>
        <w:tblLook w:val="04A0" w:firstRow="1" w:lastRow="0" w:firstColumn="1" w:lastColumn="0" w:noHBand="0" w:noVBand="1"/>
      </w:tblPr>
      <w:tblGrid>
        <w:gridCol w:w="1989"/>
        <w:gridCol w:w="1336"/>
      </w:tblGrid>
      <w:tr w:rsidR="0094632D" w:rsidRPr="00511BA9" w:rsidTr="0094632D">
        <w:trPr>
          <w:trHeight w:val="303"/>
        </w:trPr>
        <w:tc>
          <w:tcPr>
            <w:tcW w:w="1989" w:type="dxa"/>
            <w:noWrap/>
            <w:hideMark/>
          </w:tcPr>
          <w:p w:rsidR="0094632D" w:rsidRPr="00511BA9" w:rsidRDefault="0094632D" w:rsidP="0094632D">
            <w:pPr>
              <w:rPr>
                <w:noProof/>
              </w:rPr>
            </w:pPr>
            <w:r w:rsidRPr="00511BA9">
              <w:rPr>
                <w:noProof/>
              </w:rPr>
              <w:t xml:space="preserve">2016 q1-3 earings </w:t>
            </w:r>
          </w:p>
        </w:tc>
        <w:tc>
          <w:tcPr>
            <w:tcW w:w="1336" w:type="dxa"/>
            <w:noWrap/>
            <w:hideMark/>
          </w:tcPr>
          <w:p w:rsidR="0094632D" w:rsidRPr="00511BA9" w:rsidRDefault="0094632D" w:rsidP="0094632D">
            <w:pPr>
              <w:rPr>
                <w:noProof/>
              </w:rPr>
            </w:pPr>
            <w:r w:rsidRPr="00511BA9">
              <w:rPr>
                <w:noProof/>
              </w:rPr>
              <w:t xml:space="preserve"> $  75,946.00 </w:t>
            </w:r>
          </w:p>
        </w:tc>
      </w:tr>
      <w:tr w:rsidR="0094632D" w:rsidRPr="00511BA9" w:rsidTr="0094632D">
        <w:trPr>
          <w:trHeight w:val="303"/>
        </w:trPr>
        <w:tc>
          <w:tcPr>
            <w:tcW w:w="1989" w:type="dxa"/>
            <w:noWrap/>
            <w:hideMark/>
          </w:tcPr>
          <w:p w:rsidR="0094632D" w:rsidRPr="00511BA9" w:rsidRDefault="0094632D" w:rsidP="0094632D">
            <w:pPr>
              <w:rPr>
                <w:noProof/>
              </w:rPr>
            </w:pPr>
            <w:r w:rsidRPr="00511BA9">
              <w:rPr>
                <w:noProof/>
              </w:rPr>
              <w:t>2016 q4 forecast</w:t>
            </w:r>
          </w:p>
        </w:tc>
        <w:tc>
          <w:tcPr>
            <w:tcW w:w="1336" w:type="dxa"/>
            <w:noWrap/>
            <w:hideMark/>
          </w:tcPr>
          <w:p w:rsidR="0094632D" w:rsidRPr="00511BA9" w:rsidRDefault="0094632D" w:rsidP="0094632D">
            <w:pPr>
              <w:rPr>
                <w:noProof/>
              </w:rPr>
            </w:pPr>
            <w:r w:rsidRPr="00511BA9">
              <w:rPr>
                <w:noProof/>
              </w:rPr>
              <w:t>14562.6913</w:t>
            </w:r>
          </w:p>
        </w:tc>
      </w:tr>
      <w:tr w:rsidR="0094632D" w:rsidRPr="00511BA9" w:rsidTr="0094632D">
        <w:trPr>
          <w:trHeight w:val="303"/>
        </w:trPr>
        <w:tc>
          <w:tcPr>
            <w:tcW w:w="1989" w:type="dxa"/>
            <w:noWrap/>
            <w:hideMark/>
          </w:tcPr>
          <w:p w:rsidR="0094632D" w:rsidRPr="00511BA9" w:rsidRDefault="0094632D" w:rsidP="0094632D">
            <w:pPr>
              <w:rPr>
                <w:noProof/>
              </w:rPr>
            </w:pPr>
            <w:r w:rsidRPr="00511BA9">
              <w:rPr>
                <w:noProof/>
              </w:rPr>
              <w:t>2016 forecast</w:t>
            </w:r>
          </w:p>
        </w:tc>
        <w:tc>
          <w:tcPr>
            <w:tcW w:w="1336" w:type="dxa"/>
            <w:noWrap/>
            <w:hideMark/>
          </w:tcPr>
          <w:p w:rsidR="0094632D" w:rsidRPr="00511BA9" w:rsidRDefault="0094632D" w:rsidP="0094632D">
            <w:pPr>
              <w:rPr>
                <w:noProof/>
              </w:rPr>
            </w:pPr>
            <w:r w:rsidRPr="00511BA9">
              <w:rPr>
                <w:noProof/>
              </w:rPr>
              <w:t xml:space="preserve"> $  90,508.69 </w:t>
            </w:r>
          </w:p>
        </w:tc>
      </w:tr>
    </w:tbl>
    <w:tbl>
      <w:tblPr>
        <w:tblStyle w:val="TableGrid"/>
        <w:tblpPr w:leftFromText="180" w:rightFromText="180" w:vertAnchor="text" w:horzAnchor="margin" w:tblpXSpec="right" w:tblpY="6680"/>
        <w:tblW w:w="0" w:type="auto"/>
        <w:tblLook w:val="04A0" w:firstRow="1" w:lastRow="0" w:firstColumn="1" w:lastColumn="0" w:noHBand="0" w:noVBand="1"/>
      </w:tblPr>
      <w:tblGrid>
        <w:gridCol w:w="1320"/>
        <w:gridCol w:w="1480"/>
      </w:tblGrid>
      <w:tr w:rsidR="0094632D" w:rsidRPr="00511BA9" w:rsidTr="0094632D">
        <w:trPr>
          <w:trHeight w:val="300"/>
        </w:trPr>
        <w:tc>
          <w:tcPr>
            <w:tcW w:w="1320" w:type="dxa"/>
            <w:noWrap/>
            <w:hideMark/>
          </w:tcPr>
          <w:p w:rsidR="0094632D" w:rsidRPr="00511BA9" w:rsidRDefault="0094632D" w:rsidP="0094632D">
            <w:pPr>
              <w:jc w:val="center"/>
              <w:rPr>
                <w:noProof/>
              </w:rPr>
            </w:pPr>
            <w:r w:rsidRPr="00511BA9">
              <w:rPr>
                <w:noProof/>
              </w:rPr>
              <w:t>Year</w:t>
            </w:r>
          </w:p>
        </w:tc>
        <w:tc>
          <w:tcPr>
            <w:tcW w:w="1480" w:type="dxa"/>
            <w:noWrap/>
            <w:hideMark/>
          </w:tcPr>
          <w:p w:rsidR="0094632D" w:rsidRPr="00511BA9" w:rsidRDefault="0094632D" w:rsidP="0094632D">
            <w:pPr>
              <w:jc w:val="center"/>
              <w:rPr>
                <w:noProof/>
              </w:rPr>
            </w:pPr>
            <w:r w:rsidRPr="00511BA9">
              <w:rPr>
                <w:noProof/>
              </w:rPr>
              <w:t>earnings</w:t>
            </w:r>
          </w:p>
        </w:tc>
      </w:tr>
      <w:tr w:rsidR="0094632D" w:rsidRPr="00511BA9" w:rsidTr="0094632D">
        <w:trPr>
          <w:trHeight w:val="300"/>
        </w:trPr>
        <w:tc>
          <w:tcPr>
            <w:tcW w:w="1320" w:type="dxa"/>
            <w:noWrap/>
            <w:hideMark/>
          </w:tcPr>
          <w:p w:rsidR="0094632D" w:rsidRPr="00511BA9" w:rsidRDefault="0094632D" w:rsidP="0094632D">
            <w:pPr>
              <w:jc w:val="center"/>
              <w:rPr>
                <w:noProof/>
              </w:rPr>
            </w:pPr>
            <w:r w:rsidRPr="00511BA9">
              <w:rPr>
                <w:noProof/>
              </w:rPr>
              <w:t>2010</w:t>
            </w:r>
          </w:p>
        </w:tc>
        <w:tc>
          <w:tcPr>
            <w:tcW w:w="1480" w:type="dxa"/>
            <w:noWrap/>
            <w:hideMark/>
          </w:tcPr>
          <w:p w:rsidR="0094632D" w:rsidRPr="00511BA9" w:rsidRDefault="0094632D" w:rsidP="0094632D">
            <w:pPr>
              <w:jc w:val="center"/>
              <w:rPr>
                <w:noProof/>
              </w:rPr>
            </w:pPr>
            <w:r w:rsidRPr="00511BA9">
              <w:rPr>
                <w:noProof/>
              </w:rPr>
              <w:t xml:space="preserve"> $       65,427.00 </w:t>
            </w:r>
          </w:p>
        </w:tc>
      </w:tr>
      <w:tr w:rsidR="0094632D" w:rsidRPr="00511BA9" w:rsidTr="0094632D">
        <w:trPr>
          <w:trHeight w:val="300"/>
        </w:trPr>
        <w:tc>
          <w:tcPr>
            <w:tcW w:w="1320" w:type="dxa"/>
            <w:noWrap/>
            <w:hideMark/>
          </w:tcPr>
          <w:p w:rsidR="0094632D" w:rsidRPr="00511BA9" w:rsidRDefault="0094632D" w:rsidP="0094632D">
            <w:pPr>
              <w:jc w:val="center"/>
              <w:rPr>
                <w:noProof/>
              </w:rPr>
            </w:pPr>
            <w:r w:rsidRPr="00511BA9">
              <w:rPr>
                <w:noProof/>
              </w:rPr>
              <w:t>2011</w:t>
            </w:r>
          </w:p>
        </w:tc>
        <w:tc>
          <w:tcPr>
            <w:tcW w:w="1480" w:type="dxa"/>
            <w:noWrap/>
            <w:hideMark/>
          </w:tcPr>
          <w:p w:rsidR="0094632D" w:rsidRPr="00511BA9" w:rsidRDefault="0094632D" w:rsidP="0094632D">
            <w:pPr>
              <w:jc w:val="center"/>
              <w:rPr>
                <w:noProof/>
              </w:rPr>
            </w:pPr>
            <w:r w:rsidRPr="00511BA9">
              <w:rPr>
                <w:noProof/>
              </w:rPr>
              <w:t xml:space="preserve"> $       71,976.00 </w:t>
            </w:r>
          </w:p>
        </w:tc>
      </w:tr>
      <w:tr w:rsidR="0094632D" w:rsidRPr="00511BA9" w:rsidTr="0094632D">
        <w:trPr>
          <w:trHeight w:val="300"/>
        </w:trPr>
        <w:tc>
          <w:tcPr>
            <w:tcW w:w="1320" w:type="dxa"/>
            <w:noWrap/>
            <w:hideMark/>
          </w:tcPr>
          <w:p w:rsidR="0094632D" w:rsidRPr="00511BA9" w:rsidRDefault="0094632D" w:rsidP="0094632D">
            <w:pPr>
              <w:jc w:val="center"/>
              <w:rPr>
                <w:noProof/>
              </w:rPr>
            </w:pPr>
            <w:r w:rsidRPr="00511BA9">
              <w:rPr>
                <w:noProof/>
              </w:rPr>
              <w:t>2012</w:t>
            </w:r>
          </w:p>
        </w:tc>
        <w:tc>
          <w:tcPr>
            <w:tcW w:w="1480" w:type="dxa"/>
            <w:noWrap/>
            <w:hideMark/>
          </w:tcPr>
          <w:p w:rsidR="0094632D" w:rsidRPr="00511BA9" w:rsidRDefault="0094632D" w:rsidP="0094632D">
            <w:pPr>
              <w:jc w:val="center"/>
              <w:rPr>
                <w:noProof/>
              </w:rPr>
            </w:pPr>
            <w:r w:rsidRPr="00511BA9">
              <w:rPr>
                <w:noProof/>
              </w:rPr>
              <w:t xml:space="preserve"> $       79,396.00 </w:t>
            </w:r>
          </w:p>
        </w:tc>
      </w:tr>
      <w:tr w:rsidR="0094632D" w:rsidRPr="00511BA9" w:rsidTr="0094632D">
        <w:trPr>
          <w:trHeight w:val="300"/>
        </w:trPr>
        <w:tc>
          <w:tcPr>
            <w:tcW w:w="1320" w:type="dxa"/>
            <w:noWrap/>
            <w:hideMark/>
          </w:tcPr>
          <w:p w:rsidR="0094632D" w:rsidRPr="00511BA9" w:rsidRDefault="0094632D" w:rsidP="0094632D">
            <w:pPr>
              <w:jc w:val="center"/>
              <w:rPr>
                <w:noProof/>
              </w:rPr>
            </w:pPr>
            <w:r w:rsidRPr="00511BA9">
              <w:rPr>
                <w:noProof/>
              </w:rPr>
              <w:t>2013</w:t>
            </w:r>
          </w:p>
        </w:tc>
        <w:tc>
          <w:tcPr>
            <w:tcW w:w="1480" w:type="dxa"/>
            <w:noWrap/>
            <w:hideMark/>
          </w:tcPr>
          <w:p w:rsidR="0094632D" w:rsidRPr="00511BA9" w:rsidRDefault="0094632D" w:rsidP="0094632D">
            <w:pPr>
              <w:jc w:val="center"/>
              <w:rPr>
                <w:noProof/>
              </w:rPr>
            </w:pPr>
            <w:r w:rsidRPr="00511BA9">
              <w:rPr>
                <w:noProof/>
              </w:rPr>
              <w:t xml:space="preserve"> $       72,828.00 </w:t>
            </w:r>
          </w:p>
        </w:tc>
      </w:tr>
      <w:tr w:rsidR="0094632D" w:rsidRPr="00511BA9" w:rsidTr="0094632D">
        <w:trPr>
          <w:trHeight w:val="300"/>
        </w:trPr>
        <w:tc>
          <w:tcPr>
            <w:tcW w:w="1320" w:type="dxa"/>
            <w:noWrap/>
            <w:hideMark/>
          </w:tcPr>
          <w:p w:rsidR="0094632D" w:rsidRPr="00511BA9" w:rsidRDefault="0094632D" w:rsidP="0094632D">
            <w:pPr>
              <w:jc w:val="center"/>
              <w:rPr>
                <w:noProof/>
              </w:rPr>
            </w:pPr>
            <w:r w:rsidRPr="00511BA9">
              <w:rPr>
                <w:noProof/>
              </w:rPr>
              <w:t>2014</w:t>
            </w:r>
          </w:p>
        </w:tc>
        <w:tc>
          <w:tcPr>
            <w:tcW w:w="1480" w:type="dxa"/>
            <w:noWrap/>
            <w:hideMark/>
          </w:tcPr>
          <w:p w:rsidR="0094632D" w:rsidRPr="00511BA9" w:rsidRDefault="0094632D" w:rsidP="0094632D">
            <w:pPr>
              <w:jc w:val="center"/>
              <w:rPr>
                <w:noProof/>
              </w:rPr>
            </w:pPr>
            <w:r w:rsidRPr="00511BA9">
              <w:rPr>
                <w:noProof/>
              </w:rPr>
              <w:t xml:space="preserve"> $       57,101.00 </w:t>
            </w:r>
          </w:p>
        </w:tc>
      </w:tr>
      <w:tr w:rsidR="0094632D" w:rsidRPr="00511BA9" w:rsidTr="0094632D">
        <w:trPr>
          <w:trHeight w:val="300"/>
        </w:trPr>
        <w:tc>
          <w:tcPr>
            <w:tcW w:w="1320" w:type="dxa"/>
            <w:noWrap/>
            <w:hideMark/>
          </w:tcPr>
          <w:p w:rsidR="0094632D" w:rsidRPr="00511BA9" w:rsidRDefault="0094632D" w:rsidP="0094632D">
            <w:pPr>
              <w:jc w:val="center"/>
              <w:rPr>
                <w:noProof/>
              </w:rPr>
            </w:pPr>
            <w:r w:rsidRPr="00511BA9">
              <w:rPr>
                <w:noProof/>
              </w:rPr>
              <w:t>2015</w:t>
            </w:r>
          </w:p>
        </w:tc>
        <w:tc>
          <w:tcPr>
            <w:tcW w:w="1480" w:type="dxa"/>
            <w:noWrap/>
            <w:hideMark/>
          </w:tcPr>
          <w:p w:rsidR="0094632D" w:rsidRPr="00511BA9" w:rsidRDefault="0094632D" w:rsidP="0094632D">
            <w:pPr>
              <w:jc w:val="center"/>
              <w:rPr>
                <w:noProof/>
              </w:rPr>
            </w:pPr>
            <w:r w:rsidRPr="00511BA9">
              <w:rPr>
                <w:noProof/>
              </w:rPr>
              <w:t xml:space="preserve"> $       75,968.00 </w:t>
            </w:r>
          </w:p>
        </w:tc>
      </w:tr>
      <w:tr w:rsidR="0094632D" w:rsidRPr="00511BA9" w:rsidTr="0094632D">
        <w:trPr>
          <w:trHeight w:val="300"/>
        </w:trPr>
        <w:tc>
          <w:tcPr>
            <w:tcW w:w="1320" w:type="dxa"/>
            <w:noWrap/>
            <w:hideMark/>
          </w:tcPr>
          <w:p w:rsidR="0094632D" w:rsidRPr="00511BA9" w:rsidRDefault="0094632D" w:rsidP="0094632D">
            <w:pPr>
              <w:jc w:val="center"/>
              <w:rPr>
                <w:noProof/>
              </w:rPr>
            </w:pPr>
            <w:r w:rsidRPr="00511BA9">
              <w:rPr>
                <w:noProof/>
              </w:rPr>
              <w:t>2016</w:t>
            </w:r>
          </w:p>
        </w:tc>
        <w:tc>
          <w:tcPr>
            <w:tcW w:w="1480" w:type="dxa"/>
            <w:noWrap/>
            <w:hideMark/>
          </w:tcPr>
          <w:p w:rsidR="0094632D" w:rsidRPr="00511BA9" w:rsidRDefault="0094632D" w:rsidP="0094632D">
            <w:pPr>
              <w:jc w:val="center"/>
              <w:rPr>
                <w:noProof/>
              </w:rPr>
            </w:pPr>
            <w:r w:rsidRPr="00511BA9">
              <w:rPr>
                <w:noProof/>
              </w:rPr>
              <w:t xml:space="preserve"> </w:t>
            </w:r>
            <w:r w:rsidRPr="00511BA9">
              <w:rPr>
                <w:noProof/>
                <w:highlight w:val="yellow"/>
              </w:rPr>
              <w:t>$       90,508.69</w:t>
            </w:r>
            <w:r w:rsidRPr="00511BA9">
              <w:rPr>
                <w:noProof/>
              </w:rPr>
              <w:t xml:space="preserve"> </w:t>
            </w:r>
          </w:p>
        </w:tc>
      </w:tr>
      <w:tr w:rsidR="0094632D" w:rsidRPr="00511BA9" w:rsidTr="0094632D">
        <w:trPr>
          <w:trHeight w:val="300"/>
        </w:trPr>
        <w:tc>
          <w:tcPr>
            <w:tcW w:w="1320" w:type="dxa"/>
            <w:noWrap/>
            <w:hideMark/>
          </w:tcPr>
          <w:p w:rsidR="0094632D" w:rsidRPr="00511BA9" w:rsidRDefault="0094632D" w:rsidP="0094632D">
            <w:pPr>
              <w:jc w:val="center"/>
              <w:rPr>
                <w:noProof/>
              </w:rPr>
            </w:pPr>
            <w:r w:rsidRPr="00511BA9">
              <w:rPr>
                <w:noProof/>
              </w:rPr>
              <w:t>2017</w:t>
            </w:r>
          </w:p>
        </w:tc>
        <w:tc>
          <w:tcPr>
            <w:tcW w:w="1480" w:type="dxa"/>
            <w:noWrap/>
            <w:hideMark/>
          </w:tcPr>
          <w:p w:rsidR="0094632D" w:rsidRPr="00511BA9" w:rsidRDefault="0094632D" w:rsidP="0094632D">
            <w:pPr>
              <w:jc w:val="center"/>
              <w:rPr>
                <w:noProof/>
              </w:rPr>
            </w:pPr>
            <w:r w:rsidRPr="00511BA9">
              <w:rPr>
                <w:noProof/>
              </w:rPr>
              <w:t xml:space="preserve"> </w:t>
            </w:r>
            <w:r w:rsidRPr="00511BA9">
              <w:rPr>
                <w:noProof/>
                <w:highlight w:val="yellow"/>
              </w:rPr>
              <w:t>$       82,297.11</w:t>
            </w:r>
            <w:r w:rsidRPr="00511BA9">
              <w:rPr>
                <w:noProof/>
              </w:rPr>
              <w:t xml:space="preserve"> </w:t>
            </w:r>
          </w:p>
        </w:tc>
      </w:tr>
    </w:tbl>
    <w:p w:rsidR="00511BA9" w:rsidRPr="00511BA9" w:rsidRDefault="00511BA9" w:rsidP="00511BA9">
      <w:pPr>
        <w:spacing w:line="480" w:lineRule="auto"/>
        <w:jc w:val="center"/>
        <w:rPr>
          <w:b/>
          <w:sz w:val="24"/>
          <w:szCs w:val="24"/>
        </w:rPr>
      </w:pPr>
      <w:r>
        <w:rPr>
          <w:b/>
          <w:sz w:val="24"/>
          <w:szCs w:val="24"/>
        </w:rPr>
        <w:t>Forecasted</w:t>
      </w:r>
      <w:r w:rsidR="0094632D">
        <w:rPr>
          <w:b/>
          <w:sz w:val="24"/>
          <w:szCs w:val="24"/>
        </w:rPr>
        <w:t xml:space="preserve"> Quarterly Earnings</w:t>
      </w:r>
      <w:r w:rsidR="0094632D">
        <w:rPr>
          <w:noProof/>
        </w:rPr>
        <w:drawing>
          <wp:inline distT="0" distB="0" distL="0" distR="0" wp14:anchorId="7965BFA8" wp14:editId="4F769BB2">
            <wp:extent cx="7019925" cy="35242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b/>
          <w:sz w:val="24"/>
          <w:szCs w:val="24"/>
        </w:rPr>
        <w:t xml:space="preserve"> </w:t>
      </w:r>
    </w:p>
    <w:p w:rsidR="00402656" w:rsidRPr="00511BA9" w:rsidRDefault="00402656" w:rsidP="00511BA9">
      <w:pPr>
        <w:spacing w:line="480" w:lineRule="auto"/>
        <w:jc w:val="center"/>
        <w:rPr>
          <w:sz w:val="24"/>
          <w:szCs w:val="24"/>
        </w:rPr>
      </w:pPr>
    </w:p>
    <w:p w:rsidR="00636E1E" w:rsidRDefault="00636E1E" w:rsidP="00402656">
      <w:pPr>
        <w:jc w:val="center"/>
        <w:rPr>
          <w:noProof/>
        </w:rPr>
      </w:pPr>
    </w:p>
    <w:p w:rsidR="00636E1E" w:rsidRPr="00636E1E" w:rsidRDefault="00636E1E" w:rsidP="00636E1E"/>
    <w:p w:rsidR="00636E1E" w:rsidRPr="00636E1E" w:rsidRDefault="00636E1E" w:rsidP="00636E1E"/>
    <w:tbl>
      <w:tblPr>
        <w:tblStyle w:val="TableGrid"/>
        <w:tblpPr w:leftFromText="180" w:rightFromText="180" w:vertAnchor="text" w:horzAnchor="margin" w:tblpXSpec="center" w:tblpY="481"/>
        <w:tblOverlap w:val="never"/>
        <w:tblW w:w="0" w:type="auto"/>
        <w:tblLook w:val="04A0" w:firstRow="1" w:lastRow="0" w:firstColumn="1" w:lastColumn="0" w:noHBand="0" w:noVBand="1"/>
      </w:tblPr>
      <w:tblGrid>
        <w:gridCol w:w="1900"/>
        <w:gridCol w:w="1220"/>
      </w:tblGrid>
      <w:tr w:rsidR="0094632D" w:rsidRPr="00402656" w:rsidTr="0094632D">
        <w:trPr>
          <w:trHeight w:val="300"/>
        </w:trPr>
        <w:tc>
          <w:tcPr>
            <w:tcW w:w="1900" w:type="dxa"/>
            <w:noWrap/>
            <w:hideMark/>
          </w:tcPr>
          <w:p w:rsidR="0094632D" w:rsidRPr="00402656" w:rsidRDefault="0094632D" w:rsidP="0094632D">
            <w:pPr>
              <w:rPr>
                <w:noProof/>
              </w:rPr>
            </w:pPr>
            <w:r w:rsidRPr="00402656">
              <w:rPr>
                <w:noProof/>
              </w:rPr>
              <w:t>Avg Qt Earnings</w:t>
            </w:r>
          </w:p>
        </w:tc>
        <w:tc>
          <w:tcPr>
            <w:tcW w:w="1220" w:type="dxa"/>
            <w:noWrap/>
            <w:hideMark/>
          </w:tcPr>
          <w:p w:rsidR="0094632D" w:rsidRPr="00402656" w:rsidRDefault="0094632D" w:rsidP="0094632D">
            <w:pPr>
              <w:rPr>
                <w:noProof/>
              </w:rPr>
            </w:pPr>
            <w:r w:rsidRPr="00402656">
              <w:rPr>
                <w:noProof/>
              </w:rPr>
              <w:t xml:space="preserve"> $  18,468.22 </w:t>
            </w:r>
          </w:p>
        </w:tc>
      </w:tr>
      <w:tr w:rsidR="0094632D" w:rsidRPr="00402656" w:rsidTr="0094632D">
        <w:trPr>
          <w:trHeight w:val="300"/>
        </w:trPr>
        <w:tc>
          <w:tcPr>
            <w:tcW w:w="1900" w:type="dxa"/>
            <w:noWrap/>
            <w:hideMark/>
          </w:tcPr>
          <w:p w:rsidR="0094632D" w:rsidRPr="00402656" w:rsidRDefault="0094632D" w:rsidP="0094632D">
            <w:pPr>
              <w:rPr>
                <w:noProof/>
              </w:rPr>
            </w:pPr>
            <w:r w:rsidRPr="00402656">
              <w:rPr>
                <w:noProof/>
              </w:rPr>
              <w:t>avg Q1 earnings</w:t>
            </w:r>
          </w:p>
        </w:tc>
        <w:tc>
          <w:tcPr>
            <w:tcW w:w="1220" w:type="dxa"/>
            <w:noWrap/>
            <w:hideMark/>
          </w:tcPr>
          <w:p w:rsidR="0094632D" w:rsidRPr="00402656" w:rsidRDefault="0094632D" w:rsidP="0094632D">
            <w:pPr>
              <w:rPr>
                <w:noProof/>
              </w:rPr>
            </w:pPr>
            <w:r w:rsidRPr="00402656">
              <w:rPr>
                <w:noProof/>
              </w:rPr>
              <w:t xml:space="preserve"> $  19,174.17 </w:t>
            </w:r>
          </w:p>
        </w:tc>
      </w:tr>
      <w:tr w:rsidR="0094632D" w:rsidRPr="00402656" w:rsidTr="0094632D">
        <w:trPr>
          <w:trHeight w:val="300"/>
        </w:trPr>
        <w:tc>
          <w:tcPr>
            <w:tcW w:w="1900" w:type="dxa"/>
            <w:noWrap/>
            <w:hideMark/>
          </w:tcPr>
          <w:p w:rsidR="0094632D" w:rsidRPr="00402656" w:rsidRDefault="0094632D" w:rsidP="0094632D">
            <w:pPr>
              <w:rPr>
                <w:noProof/>
              </w:rPr>
            </w:pPr>
            <w:r w:rsidRPr="00402656">
              <w:rPr>
                <w:noProof/>
              </w:rPr>
              <w:t>avg Q2 earnings</w:t>
            </w:r>
          </w:p>
        </w:tc>
        <w:tc>
          <w:tcPr>
            <w:tcW w:w="1220" w:type="dxa"/>
            <w:noWrap/>
            <w:hideMark/>
          </w:tcPr>
          <w:p w:rsidR="0094632D" w:rsidRPr="00402656" w:rsidRDefault="0094632D" w:rsidP="0094632D">
            <w:pPr>
              <w:rPr>
                <w:noProof/>
              </w:rPr>
            </w:pPr>
            <w:r>
              <w:rPr>
                <w:noProof/>
              </w:rPr>
              <w:t xml:space="preserve"> $</w:t>
            </w:r>
            <w:r w:rsidRPr="00402656">
              <w:rPr>
                <w:noProof/>
              </w:rPr>
              <w:t xml:space="preserve"> 20,557.83 </w:t>
            </w:r>
          </w:p>
        </w:tc>
      </w:tr>
      <w:tr w:rsidR="0094632D" w:rsidRPr="00402656" w:rsidTr="0094632D">
        <w:trPr>
          <w:trHeight w:val="300"/>
        </w:trPr>
        <w:tc>
          <w:tcPr>
            <w:tcW w:w="1900" w:type="dxa"/>
            <w:noWrap/>
            <w:hideMark/>
          </w:tcPr>
          <w:p w:rsidR="0094632D" w:rsidRPr="00402656" w:rsidRDefault="0094632D" w:rsidP="0094632D">
            <w:pPr>
              <w:rPr>
                <w:noProof/>
              </w:rPr>
            </w:pPr>
            <w:r w:rsidRPr="00402656">
              <w:rPr>
                <w:noProof/>
              </w:rPr>
              <w:t>avg Q3 earnigns</w:t>
            </w:r>
          </w:p>
        </w:tc>
        <w:tc>
          <w:tcPr>
            <w:tcW w:w="1220" w:type="dxa"/>
            <w:noWrap/>
            <w:hideMark/>
          </w:tcPr>
          <w:p w:rsidR="0094632D" w:rsidRPr="00402656" w:rsidRDefault="0094632D" w:rsidP="0094632D">
            <w:pPr>
              <w:rPr>
                <w:noProof/>
              </w:rPr>
            </w:pPr>
            <w:r w:rsidRPr="00402656">
              <w:rPr>
                <w:noProof/>
              </w:rPr>
              <w:t xml:space="preserve"> $  19,572.33 </w:t>
            </w:r>
          </w:p>
        </w:tc>
      </w:tr>
      <w:tr w:rsidR="0094632D" w:rsidRPr="00402656" w:rsidTr="0094632D">
        <w:trPr>
          <w:trHeight w:val="300"/>
        </w:trPr>
        <w:tc>
          <w:tcPr>
            <w:tcW w:w="1900" w:type="dxa"/>
            <w:noWrap/>
            <w:hideMark/>
          </w:tcPr>
          <w:p w:rsidR="0094632D" w:rsidRPr="00402656" w:rsidRDefault="0094632D" w:rsidP="0094632D">
            <w:pPr>
              <w:rPr>
                <w:noProof/>
              </w:rPr>
            </w:pPr>
            <w:r w:rsidRPr="00402656">
              <w:rPr>
                <w:noProof/>
              </w:rPr>
              <w:t xml:space="preserve">avg Q4 earings </w:t>
            </w:r>
          </w:p>
        </w:tc>
        <w:tc>
          <w:tcPr>
            <w:tcW w:w="1220" w:type="dxa"/>
            <w:noWrap/>
            <w:hideMark/>
          </w:tcPr>
          <w:p w:rsidR="0094632D" w:rsidRPr="00402656" w:rsidRDefault="0094632D" w:rsidP="0094632D">
            <w:pPr>
              <w:rPr>
                <w:noProof/>
              </w:rPr>
            </w:pPr>
            <w:r w:rsidRPr="00402656">
              <w:rPr>
                <w:noProof/>
              </w:rPr>
              <w:t xml:space="preserve"> $  11,145.00 </w:t>
            </w:r>
          </w:p>
        </w:tc>
      </w:tr>
    </w:tbl>
    <w:p w:rsidR="00636E1E" w:rsidRPr="00636E1E" w:rsidRDefault="00636E1E" w:rsidP="00636E1E"/>
    <w:p w:rsidR="00636E1E" w:rsidRPr="00636E1E" w:rsidRDefault="00636E1E" w:rsidP="00636E1E"/>
    <w:p w:rsidR="00636E1E" w:rsidRPr="00636E1E" w:rsidRDefault="00636E1E" w:rsidP="00636E1E"/>
    <w:p w:rsidR="00636E1E" w:rsidRPr="00636E1E" w:rsidRDefault="00636E1E" w:rsidP="00636E1E"/>
    <w:p w:rsidR="00636E1E" w:rsidRPr="00636E1E" w:rsidRDefault="00636E1E" w:rsidP="00636E1E"/>
    <w:p w:rsidR="00636E1E" w:rsidRPr="00636E1E" w:rsidRDefault="0094632D" w:rsidP="00636E1E">
      <w:r>
        <w:t>*Highlighted Numbers are forecasted</w:t>
      </w:r>
    </w:p>
    <w:p w:rsidR="00636E1E" w:rsidRPr="00636E1E" w:rsidRDefault="00636E1E" w:rsidP="00636E1E"/>
    <w:p w:rsidR="00EC499D" w:rsidRDefault="00EC499D" w:rsidP="0094632D">
      <w:pPr>
        <w:spacing w:line="480" w:lineRule="auto"/>
        <w:rPr>
          <w:noProof/>
          <w:sz w:val="24"/>
          <w:szCs w:val="24"/>
        </w:rPr>
      </w:pPr>
    </w:p>
    <w:p w:rsidR="0094632D" w:rsidRPr="0094632D" w:rsidRDefault="00746B1A" w:rsidP="0094632D">
      <w:pPr>
        <w:spacing w:line="480" w:lineRule="auto"/>
        <w:rPr>
          <w:noProof/>
          <w:sz w:val="24"/>
          <w:szCs w:val="24"/>
        </w:rPr>
      </w:pPr>
      <w:r w:rsidRPr="0094632D">
        <w:rPr>
          <w:noProof/>
          <w:sz w:val="24"/>
          <w:szCs w:val="24"/>
        </w:rPr>
        <w:lastRenderedPageBreak/>
        <w:t xml:space="preserve">As you can tell from our quarterly earning analysis, Stepan’s fourth quarter earnings have historically been lower than any other quarter throughout any year. This year is no different, with our forecast model predicting their fourth quarter earnings to be about 14.5 million which is 10.7 million lower than the average for the first three quarters of 2016 thus far. That being said, given the hisotrical fourth quarter earnings and our forecast, we are predicting that the market will react to the lower earnings in a negative way thus lowering the stock price to a point where we would recommend buying it. At this point however we are recommending a hold strategy until the fourth quarter earnings are released. </w:t>
      </w:r>
      <w:r w:rsidR="00DB38CF" w:rsidRPr="0094632D">
        <w:rPr>
          <w:noProof/>
          <w:sz w:val="24"/>
          <w:szCs w:val="24"/>
        </w:rPr>
        <w:t>Once the fourth quarter earings are made public</w:t>
      </w:r>
      <w:r w:rsidRPr="0094632D">
        <w:rPr>
          <w:noProof/>
          <w:sz w:val="24"/>
          <w:szCs w:val="24"/>
        </w:rPr>
        <w:t xml:space="preserve">, </w:t>
      </w:r>
      <w:r w:rsidR="00DB38CF" w:rsidRPr="0094632D">
        <w:rPr>
          <w:noProof/>
          <w:sz w:val="24"/>
          <w:szCs w:val="24"/>
        </w:rPr>
        <w:t>If the strock price drops to a price of about $65-70 we would recommend buying the stock. However if the price drops below $65 we would not recommend buying it as the market has overreacted to the quaterly earnings decrease. We do however believe that because of conservatism bias, the market will be slow to fully react to the earings release thus creating a mispriced match which we could exploit by purchasing the stock between if it drops to a price range of $65-$70 from where it currently is at today a price of $82.</w:t>
      </w:r>
    </w:p>
    <w:p w:rsidR="0094632D" w:rsidRDefault="0094632D" w:rsidP="0094632D">
      <w:pPr>
        <w:rPr>
          <w:noProof/>
        </w:rPr>
      </w:pPr>
    </w:p>
    <w:p w:rsidR="0094632D" w:rsidRDefault="0094632D" w:rsidP="0094632D">
      <w:pPr>
        <w:rPr>
          <w:b/>
        </w:rPr>
      </w:pPr>
      <w:r w:rsidRPr="00D348D3">
        <w:rPr>
          <w:b/>
        </w:rPr>
        <w:t>Business Description</w:t>
      </w:r>
    </w:p>
    <w:p w:rsidR="0094632D" w:rsidRPr="00D348D3" w:rsidRDefault="0094632D" w:rsidP="0094632D">
      <w:pPr>
        <w:spacing w:line="480" w:lineRule="auto"/>
        <w:ind w:firstLine="720"/>
        <w:rPr>
          <w:sz w:val="24"/>
          <w:szCs w:val="24"/>
        </w:rPr>
      </w:pPr>
      <w:r w:rsidRPr="00D348D3">
        <w:rPr>
          <w:sz w:val="24"/>
          <w:szCs w:val="24"/>
        </w:rPr>
        <w:t>As we’ve mentioned before, Stepan is a major global manufacturer of specialty and intermediate chemicals that are used in a broad range of industries. They manufacture not only a wide range of cleaning products but they also manufacture surfactants, polymers and specialty goods such as food and pharmaceuticals.</w:t>
      </w:r>
    </w:p>
    <w:p w:rsidR="0094632D" w:rsidRPr="00D348D3" w:rsidRDefault="0094632D" w:rsidP="0094632D">
      <w:pPr>
        <w:spacing w:line="480" w:lineRule="auto"/>
        <w:ind w:firstLine="720"/>
        <w:rPr>
          <w:sz w:val="24"/>
          <w:szCs w:val="24"/>
        </w:rPr>
      </w:pPr>
      <w:r w:rsidRPr="00D348D3">
        <w:rPr>
          <w:sz w:val="24"/>
          <w:szCs w:val="24"/>
        </w:rPr>
        <w:t xml:space="preserve">Surfactants which are key ingredients in consumer and industrial cleaning compounds such as detergents, cleansing or wetting agents, emulsifiers, foaming or defoaming agents, viscosity builders, degreasers as well as dispersants are Stepan’s number one product and they are the world’s largest merchant producers of surfactants with sixteen manufacturing locations worldwide. Their competitive advantage not </w:t>
      </w:r>
      <w:r w:rsidRPr="00D348D3">
        <w:rPr>
          <w:sz w:val="24"/>
          <w:szCs w:val="24"/>
        </w:rPr>
        <w:lastRenderedPageBreak/>
        <w:t xml:space="preserve">only comes from economies of scale from being the world’s largest producer but they also  pioneered and developed the continuous falling film sulfonation process which yields high-quality surfactants in a variety of concentrations allowing them to meet the needs of their customers from various markets. </w:t>
      </w:r>
    </w:p>
    <w:p w:rsidR="0094632D" w:rsidRPr="00D348D3" w:rsidRDefault="0094632D" w:rsidP="0094632D">
      <w:pPr>
        <w:spacing w:line="480" w:lineRule="auto"/>
        <w:ind w:firstLine="720"/>
        <w:rPr>
          <w:sz w:val="24"/>
          <w:szCs w:val="24"/>
        </w:rPr>
      </w:pPr>
      <w:r w:rsidRPr="00D348D3">
        <w:rPr>
          <w:sz w:val="24"/>
          <w:szCs w:val="24"/>
        </w:rPr>
        <w:t>Stepan’s second biggest product category include polymers and it is a global leader in the production and sale of polyester polyols, specialty polyurethane foam systems and phthalic anhydride. Stepan offers a full range of polyester polyols for use in rigid foams that are commonly used in spray and appliance insulations among other uses as well as flexible foams whose end use are common in furniture and bedding; filtration for air and fluids in consumer, medical as well as industrial applications and automotive foams. Their polyester polyols are also used in coatings, adhesives, sealants and elastomers. Their competitive advantage when it comes to polyester polyols come from their vertically integrated supply chain, along with a global network of manufacturing plants that allows them to deliver the highest quality and consistency.</w:t>
      </w:r>
    </w:p>
    <w:p w:rsidR="0094632D" w:rsidRDefault="0094632D" w:rsidP="0094632D">
      <w:pPr>
        <w:spacing w:line="480" w:lineRule="auto"/>
        <w:ind w:firstLine="720"/>
        <w:rPr>
          <w:sz w:val="24"/>
          <w:szCs w:val="24"/>
        </w:rPr>
      </w:pPr>
      <w:r w:rsidRPr="00D348D3">
        <w:rPr>
          <w:sz w:val="24"/>
          <w:szCs w:val="24"/>
        </w:rPr>
        <w:t>Stepan’s specialty products mainly deal with nutrition as its Lipid Nutrition business is a leading global producer of patented, science-based nutritional oils used in the food, nutrition as well as pharmaceutical industries.  Their p</w:t>
      </w:r>
      <w:r>
        <w:rPr>
          <w:sz w:val="24"/>
          <w:szCs w:val="24"/>
        </w:rPr>
        <w:t xml:space="preserve">roducts </w:t>
      </w:r>
      <w:r w:rsidRPr="00D348D3">
        <w:rPr>
          <w:sz w:val="24"/>
          <w:szCs w:val="24"/>
        </w:rPr>
        <w:t>include</w:t>
      </w:r>
      <w:r>
        <w:rPr>
          <w:sz w:val="24"/>
          <w:szCs w:val="24"/>
        </w:rPr>
        <w:t>d in the nutrition market segment involves</w:t>
      </w:r>
      <w:r w:rsidRPr="00D348D3">
        <w:rPr>
          <w:sz w:val="24"/>
          <w:szCs w:val="24"/>
        </w:rPr>
        <w:t xml:space="preserve"> infant nutrition, weight management as well as sports nutrition.  Stepan encourages customer involvement across all critical function including R&amp;D, supply chain, regulatory and marketing and makes it a top priority in order to deliver great quality product. Stepan’s competitive advantage in this market is its ability to involve their customers in every step of creating their product as well as some of the rights and patents that t</w:t>
      </w:r>
      <w:r>
        <w:rPr>
          <w:sz w:val="24"/>
          <w:szCs w:val="24"/>
        </w:rPr>
        <w:t>hey own. For example, currently</w:t>
      </w:r>
      <w:r w:rsidRPr="00D348D3">
        <w:rPr>
          <w:sz w:val="24"/>
          <w:szCs w:val="24"/>
        </w:rPr>
        <w:t xml:space="preserve"> Stepan is the only company in the United States that is allowed to import cocoa leaves in order to manufacture both a coca leaf extract used by the Coca Cola Company in their coke beverage as well as to manufacture cocaine which is sold to Mallinckrofdt a pharmaceutical firm for medicinal purposes.</w:t>
      </w:r>
    </w:p>
    <w:p w:rsidR="0094632D" w:rsidRDefault="0094632D" w:rsidP="0094632D">
      <w:pPr>
        <w:spacing w:line="480" w:lineRule="auto"/>
        <w:ind w:firstLine="720"/>
        <w:rPr>
          <w:sz w:val="24"/>
          <w:szCs w:val="24"/>
        </w:rPr>
      </w:pPr>
      <w:r>
        <w:rPr>
          <w:sz w:val="24"/>
          <w:szCs w:val="24"/>
        </w:rPr>
        <w:lastRenderedPageBreak/>
        <w:t xml:space="preserve">Stepan’s net sales came from three different product segments in surfactants which accounted for the majority of their sales at $1.2 billion for the year 2015 equating to 68% of total sales. Polymers were second with a total net sale amount of $491 million or 28% of total net sales. Last we had their specialty products with net sales of $78.8 million or just 4% of total net sales. </w:t>
      </w:r>
      <w:r w:rsidRPr="00D348D3">
        <w:rPr>
          <w:sz w:val="24"/>
          <w:szCs w:val="24"/>
        </w:rPr>
        <w:t>Much of Stepan’s expenses come from their cost of sales as it average 85% of net sales over a three year period ranging from 2013-2015.</w:t>
      </w:r>
    </w:p>
    <w:p w:rsidR="0094632D" w:rsidRDefault="0094632D" w:rsidP="0094632D">
      <w:pPr>
        <w:tabs>
          <w:tab w:val="left" w:pos="9900"/>
        </w:tabs>
        <w:spacing w:line="480" w:lineRule="auto"/>
        <w:ind w:firstLine="720"/>
        <w:rPr>
          <w:sz w:val="24"/>
          <w:szCs w:val="24"/>
        </w:rPr>
      </w:pPr>
      <w:r>
        <w:rPr>
          <w:sz w:val="24"/>
          <w:szCs w:val="24"/>
        </w:rPr>
        <w:t xml:space="preserve">                         </w:t>
      </w:r>
      <w:r>
        <w:rPr>
          <w:noProof/>
        </w:rPr>
        <w:drawing>
          <wp:inline distT="0" distB="0" distL="0" distR="0" wp14:anchorId="29585B5E" wp14:editId="3DB5F4B9">
            <wp:extent cx="4371975" cy="20288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sz w:val="24"/>
          <w:szCs w:val="24"/>
        </w:rPr>
        <w:tab/>
      </w:r>
    </w:p>
    <w:p w:rsidR="0094632D" w:rsidRPr="0094632D" w:rsidRDefault="0094632D" w:rsidP="0094632D">
      <w:pPr>
        <w:spacing w:line="480" w:lineRule="auto"/>
        <w:rPr>
          <w:b/>
          <w:sz w:val="24"/>
          <w:szCs w:val="24"/>
        </w:rPr>
      </w:pPr>
      <w:r w:rsidRPr="0094632D">
        <w:rPr>
          <w:b/>
          <w:sz w:val="24"/>
          <w:szCs w:val="24"/>
        </w:rPr>
        <w:t>Management &amp; Governance</w:t>
      </w:r>
    </w:p>
    <w:p w:rsidR="0094632D" w:rsidRPr="00011E36" w:rsidRDefault="0094632D" w:rsidP="0094632D">
      <w:pPr>
        <w:spacing w:line="480" w:lineRule="auto"/>
        <w:ind w:firstLine="720"/>
        <w:rPr>
          <w:sz w:val="24"/>
          <w:szCs w:val="24"/>
        </w:rPr>
      </w:pPr>
      <w:r w:rsidRPr="00011E36">
        <w:rPr>
          <w:sz w:val="24"/>
          <w:szCs w:val="24"/>
        </w:rPr>
        <w:t>F. Quinn Stepan, Jr. is the current Chief Executive Officer and has been since January 1, 2006 when he succeeded his father F. Quinn Stepan Sr. who is currently the chairman of the board. Mr. Stepan Jr. is also the president of the company a position he has held since 1999 when he was also ele</w:t>
      </w:r>
      <w:r>
        <w:rPr>
          <w:sz w:val="24"/>
          <w:szCs w:val="24"/>
        </w:rPr>
        <w:t>cted as chief operating officer</w:t>
      </w:r>
      <w:r w:rsidRPr="00011E36">
        <w:rPr>
          <w:sz w:val="24"/>
          <w:szCs w:val="24"/>
        </w:rPr>
        <w:t xml:space="preserve">. Mr. Stepan Jr. has been with the Stepan Company for 29 years now dating back to 1987 when he joined the company as a general manager after working four years with the Monsanto Company. After serving as manager of the surfactant department the company’s largest segment, Mr. Stepan than became the vice president of that same department. Mr. Stepan Jr.’s father Stepan Senior also succeeded his late father in Alfred C. Stepan, Jr. who founded the company in 1982.  F Quinn Stepan, Sr. has been with the company since 1961 and has served as Chairman and Chief Executive Officer from 1984 until his son took over in 2006. It was </w:t>
      </w:r>
      <w:r w:rsidRPr="00011E36">
        <w:rPr>
          <w:sz w:val="24"/>
          <w:szCs w:val="24"/>
        </w:rPr>
        <w:lastRenderedPageBreak/>
        <w:t>under Mr. Stepan, Sr.’s direction that the company expanded from its North American base to a global supplier of surfactants and polymer products. During this time period, Stepan also saw a substantial increase in its sales as they grew from $200 million in 1984 to over a billion dollars in 2005 his last year as chief executive</w:t>
      </w:r>
      <w:r>
        <w:rPr>
          <w:sz w:val="24"/>
          <w:szCs w:val="24"/>
        </w:rPr>
        <w:t xml:space="preserve"> officer</w:t>
      </w:r>
      <w:r w:rsidRPr="00011E36">
        <w:rPr>
          <w:sz w:val="24"/>
          <w:szCs w:val="24"/>
        </w:rPr>
        <w:t xml:space="preserve">. </w:t>
      </w:r>
    </w:p>
    <w:p w:rsidR="0094632D" w:rsidRPr="00011E36" w:rsidRDefault="0094632D" w:rsidP="0094632D">
      <w:pPr>
        <w:spacing w:line="480" w:lineRule="auto"/>
        <w:rPr>
          <w:sz w:val="24"/>
          <w:szCs w:val="24"/>
        </w:rPr>
      </w:pPr>
      <w:r w:rsidRPr="00011E36">
        <w:rPr>
          <w:sz w:val="24"/>
          <w:szCs w:val="24"/>
        </w:rPr>
        <w:tab/>
        <w:t>Mr. Stepan, Sr. plans on retiring at the end of this year on the 31</w:t>
      </w:r>
      <w:r w:rsidRPr="00011E36">
        <w:rPr>
          <w:sz w:val="24"/>
          <w:szCs w:val="24"/>
          <w:vertAlign w:val="superscript"/>
        </w:rPr>
        <w:t>st</w:t>
      </w:r>
      <w:r w:rsidRPr="00011E36">
        <w:rPr>
          <w:sz w:val="24"/>
          <w:szCs w:val="24"/>
        </w:rPr>
        <w:t xml:space="preserve"> of December. The board of directors of Stepan have unanimously appointed Mr. Stepan, Jr to succeed his father </w:t>
      </w:r>
      <w:r>
        <w:rPr>
          <w:sz w:val="24"/>
          <w:szCs w:val="24"/>
        </w:rPr>
        <w:t xml:space="preserve">once again this time </w:t>
      </w:r>
      <w:r w:rsidRPr="00011E36">
        <w:rPr>
          <w:sz w:val="24"/>
          <w:szCs w:val="24"/>
        </w:rPr>
        <w:t>as chairman</w:t>
      </w:r>
      <w:r>
        <w:rPr>
          <w:sz w:val="24"/>
          <w:szCs w:val="24"/>
        </w:rPr>
        <w:t xml:space="preserve"> of the board</w:t>
      </w:r>
      <w:r w:rsidRPr="00011E36">
        <w:rPr>
          <w:sz w:val="24"/>
          <w:szCs w:val="24"/>
        </w:rPr>
        <w:t>. Mr. Stepan Jr. effective January 1</w:t>
      </w:r>
      <w:r w:rsidRPr="00011E36">
        <w:rPr>
          <w:sz w:val="24"/>
          <w:szCs w:val="24"/>
          <w:vertAlign w:val="superscript"/>
        </w:rPr>
        <w:t>st</w:t>
      </w:r>
      <w:r>
        <w:rPr>
          <w:sz w:val="24"/>
          <w:szCs w:val="24"/>
        </w:rPr>
        <w:t xml:space="preserve"> 2017</w:t>
      </w:r>
      <w:r w:rsidRPr="00011E36">
        <w:rPr>
          <w:sz w:val="24"/>
          <w:szCs w:val="24"/>
        </w:rPr>
        <w:t xml:space="preserve"> will now be President, Chie</w:t>
      </w:r>
      <w:r>
        <w:rPr>
          <w:sz w:val="24"/>
          <w:szCs w:val="24"/>
        </w:rPr>
        <w:t>f Executive Officer as well as C</w:t>
      </w:r>
      <w:r w:rsidRPr="00011E36">
        <w:rPr>
          <w:sz w:val="24"/>
          <w:szCs w:val="24"/>
        </w:rPr>
        <w:t xml:space="preserve">hairman of the board. Because of Mr. Stepan Jr.’s other senior roles within the company, the board has also decided to appoint Mr. Edward J Wehmer as lead independent director. Mr. Wehmer is the President and Chief Executive Officer of Wintrust Financial Corporation a financial services company out of Rosemont, Illinois which he is also </w:t>
      </w:r>
      <w:r>
        <w:rPr>
          <w:sz w:val="24"/>
          <w:szCs w:val="24"/>
        </w:rPr>
        <w:t xml:space="preserve">the </w:t>
      </w:r>
      <w:r w:rsidRPr="00011E36">
        <w:rPr>
          <w:sz w:val="24"/>
          <w:szCs w:val="24"/>
        </w:rPr>
        <w:t xml:space="preserve">founder of. Mr. Wehmer has served on the board since August of 2003. Because of the appointment of Mr. Wehmer, we can consider the board of directors to be semi-independent from the company. </w:t>
      </w:r>
      <w:r>
        <w:rPr>
          <w:sz w:val="24"/>
          <w:szCs w:val="24"/>
        </w:rPr>
        <w:t>A</w:t>
      </w:r>
      <w:r w:rsidRPr="00011E36">
        <w:rPr>
          <w:sz w:val="24"/>
          <w:szCs w:val="24"/>
        </w:rPr>
        <w:t xml:space="preserve">lthough they have mostly independent directors as Mr. Stepan Sr. is the only director who also serves as a senior manager for the company, he holds a very significant and influential role within the board of directors thus giving him the ability to influence the entire board.  </w:t>
      </w:r>
    </w:p>
    <w:p w:rsidR="0094632D" w:rsidRPr="00011E36" w:rsidRDefault="0094632D" w:rsidP="0094632D">
      <w:pPr>
        <w:spacing w:line="480" w:lineRule="auto"/>
        <w:rPr>
          <w:sz w:val="24"/>
          <w:szCs w:val="24"/>
        </w:rPr>
      </w:pPr>
      <w:r w:rsidRPr="00011E36">
        <w:rPr>
          <w:sz w:val="24"/>
          <w:szCs w:val="24"/>
        </w:rPr>
        <w:tab/>
        <w:t>Financially, Stepan Company is being led by Scott D. Beamer who’s been serving as Chief Financial Officer and Vice President since August of 2013. Mr. Beamer also serves as a Principal Accounting Officer. Prior to joining Stepan Mr. Beamer served as a Corporate Controller of PPG Industries.</w:t>
      </w:r>
      <w:r>
        <w:rPr>
          <w:sz w:val="24"/>
          <w:szCs w:val="24"/>
        </w:rPr>
        <w:t xml:space="preserve"> Under Mr. Beamer’s guidance, Stepan has decided to increase the amount of debt that they use to finance the company over the last three years as shown by their debt to equity ratio which has increased every year since 2013 where it was 1.1 to 1.17 in 2014 and now at 1.22 for the past year of 2015.</w:t>
      </w:r>
    </w:p>
    <w:p w:rsidR="0094632D" w:rsidRPr="00011E36" w:rsidRDefault="0094632D" w:rsidP="0094632D">
      <w:pPr>
        <w:spacing w:line="480" w:lineRule="auto"/>
        <w:rPr>
          <w:sz w:val="24"/>
          <w:szCs w:val="24"/>
        </w:rPr>
      </w:pPr>
      <w:r w:rsidRPr="00011E36">
        <w:rPr>
          <w:sz w:val="24"/>
          <w:szCs w:val="24"/>
        </w:rPr>
        <w:lastRenderedPageBreak/>
        <w:tab/>
        <w:t xml:space="preserve">In 2015 the most recent fiscal year, Mr. Stepan Jr had a total compensation package totaling $3.7 million. Of that amount only $800,000 is his base pay or 22%.  About 36% ($1,332,392) was received as a bonus or non-equity incentive compensation. 15% (566,900) was awarded as stock while another 24% (899,994) was awarded in option value. The remainder 3% ($91,977) came from other forms of compensation. Currently according to Yahoo Finance about 13% of all stocks are held by insiders. </w:t>
      </w:r>
    </w:p>
    <w:p w:rsidR="0094632D" w:rsidRDefault="0094632D" w:rsidP="0094632D">
      <w:pPr>
        <w:spacing w:line="480" w:lineRule="auto"/>
        <w:rPr>
          <w:sz w:val="24"/>
          <w:szCs w:val="24"/>
        </w:rPr>
      </w:pPr>
      <w:r w:rsidRPr="00011E36">
        <w:rPr>
          <w:sz w:val="24"/>
          <w:szCs w:val="24"/>
        </w:rPr>
        <w:tab/>
        <w:t>Overall Stepan’s management team along with its board of directors have seem to be doing an incredible job managing the company as they’ve been able to expend and grow over the last few years. Furthermore, they have been able to withstand periods of turbulence in the stock market thus making them a great investment during financial downtimes.</w:t>
      </w:r>
    </w:p>
    <w:p w:rsidR="00EC499D" w:rsidRPr="00F47F88" w:rsidRDefault="00EC499D" w:rsidP="00EC499D">
      <w:pPr>
        <w:spacing w:after="0" w:line="480" w:lineRule="auto"/>
        <w:rPr>
          <w:rFonts w:ascii="Times" w:hAnsi="Times"/>
          <w:b/>
          <w:sz w:val="24"/>
          <w:szCs w:val="24"/>
        </w:rPr>
      </w:pPr>
      <w:r w:rsidRPr="00F47F88">
        <w:rPr>
          <w:rFonts w:ascii="Times" w:hAnsi="Times"/>
          <w:b/>
          <w:sz w:val="24"/>
          <w:szCs w:val="24"/>
        </w:rPr>
        <w:t>Industry Overview and Competitive Positioning</w:t>
      </w:r>
    </w:p>
    <w:p w:rsidR="00EC499D" w:rsidRPr="00F47F88" w:rsidRDefault="00EC499D" w:rsidP="00EC499D">
      <w:pPr>
        <w:spacing w:after="0" w:line="480" w:lineRule="auto"/>
        <w:rPr>
          <w:rFonts w:ascii="Times" w:hAnsi="Times"/>
          <w:sz w:val="24"/>
          <w:szCs w:val="24"/>
        </w:rPr>
      </w:pPr>
      <w:r>
        <w:rPr>
          <w:rFonts w:ascii="Times" w:hAnsi="Times"/>
          <w:sz w:val="24"/>
          <w:szCs w:val="24"/>
        </w:rPr>
        <w:tab/>
      </w:r>
      <w:r w:rsidRPr="00F47F88">
        <w:rPr>
          <w:rFonts w:ascii="Times" w:hAnsi="Times"/>
          <w:sz w:val="24"/>
          <w:szCs w:val="24"/>
        </w:rPr>
        <w:t xml:space="preserve">According to Yahoo, Stepan Company (SCL) has a relatively small number of competitors. These entities include Koppers Holdings Inc. (KOP), Air Products and Chemicals, Inc. (APD), and Huntsman Corporation (HUN) as their primary competitors. However, these competitors are classified by separate industries.  Figure 1.1 exhibits the following competitive industries and total market capitalization. </w:t>
      </w:r>
    </w:p>
    <w:tbl>
      <w:tblPr>
        <w:tblStyle w:val="GridTable6Colorful-Accent51"/>
        <w:tblW w:w="0" w:type="auto"/>
        <w:tblLook w:val="04A0" w:firstRow="1" w:lastRow="0" w:firstColumn="1" w:lastColumn="0" w:noHBand="0" w:noVBand="1"/>
      </w:tblPr>
      <w:tblGrid>
        <w:gridCol w:w="3116"/>
        <w:gridCol w:w="3117"/>
        <w:gridCol w:w="3117"/>
      </w:tblGrid>
      <w:tr w:rsidR="00EC499D" w:rsidRPr="00F47F88" w:rsidTr="00B20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EC499D" w:rsidRPr="00F47F88" w:rsidRDefault="00EC499D" w:rsidP="00B2030D">
            <w:pPr>
              <w:rPr>
                <w:rFonts w:ascii="Times" w:hAnsi="Times"/>
                <w:sz w:val="24"/>
                <w:szCs w:val="24"/>
              </w:rPr>
            </w:pPr>
            <w:r w:rsidRPr="00F47F88">
              <w:rPr>
                <w:rFonts w:ascii="Times" w:hAnsi="Times"/>
                <w:sz w:val="24"/>
                <w:szCs w:val="24"/>
              </w:rPr>
              <w:t>Tick:</w:t>
            </w:r>
          </w:p>
        </w:tc>
        <w:tc>
          <w:tcPr>
            <w:tcW w:w="3117" w:type="dxa"/>
          </w:tcPr>
          <w:p w:rsidR="00EC499D" w:rsidRPr="00F47F88" w:rsidRDefault="00EC499D" w:rsidP="00B2030D">
            <w:pPr>
              <w:cnfStyle w:val="100000000000" w:firstRow="1"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hAnsi="Times"/>
                <w:sz w:val="24"/>
                <w:szCs w:val="24"/>
              </w:rPr>
              <w:t>Industry</w:t>
            </w:r>
          </w:p>
        </w:tc>
        <w:tc>
          <w:tcPr>
            <w:tcW w:w="3117" w:type="dxa"/>
          </w:tcPr>
          <w:p w:rsidR="00EC499D" w:rsidRPr="00F47F88" w:rsidRDefault="00EC499D" w:rsidP="00B2030D">
            <w:pPr>
              <w:cnfStyle w:val="100000000000" w:firstRow="1"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hAnsi="Times"/>
                <w:sz w:val="24"/>
                <w:szCs w:val="24"/>
              </w:rPr>
              <w:t>Industry Market Cap</w:t>
            </w:r>
          </w:p>
        </w:tc>
      </w:tr>
      <w:tr w:rsidR="00EC499D" w:rsidRPr="00F47F88" w:rsidTr="00B2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EC499D" w:rsidRPr="00F47F88" w:rsidRDefault="00EC499D" w:rsidP="00B2030D">
            <w:pPr>
              <w:rPr>
                <w:rFonts w:ascii="Times" w:hAnsi="Times"/>
                <w:sz w:val="24"/>
                <w:szCs w:val="24"/>
              </w:rPr>
            </w:pPr>
            <w:r w:rsidRPr="00F47F88">
              <w:rPr>
                <w:rFonts w:ascii="Times" w:hAnsi="Times"/>
                <w:sz w:val="24"/>
                <w:szCs w:val="24"/>
              </w:rPr>
              <w:t>SCL</w:t>
            </w:r>
          </w:p>
        </w:tc>
        <w:tc>
          <w:tcPr>
            <w:tcW w:w="3117" w:type="dxa"/>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F47F88">
              <w:rPr>
                <w:rFonts w:ascii="Times" w:hAnsi="Times"/>
                <w:sz w:val="24"/>
                <w:szCs w:val="24"/>
              </w:rPr>
              <w:t>Cleaning Products</w:t>
            </w:r>
          </w:p>
        </w:tc>
        <w:tc>
          <w:tcPr>
            <w:tcW w:w="3117" w:type="dxa"/>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F47F88">
              <w:rPr>
                <w:rFonts w:ascii="Times" w:hAnsi="Times" w:cs="Arial"/>
                <w:sz w:val="24"/>
                <w:szCs w:val="24"/>
              </w:rPr>
              <w:t>48B</w:t>
            </w:r>
          </w:p>
        </w:tc>
      </w:tr>
      <w:tr w:rsidR="00EC499D" w:rsidRPr="00F47F88" w:rsidTr="00B2030D">
        <w:tc>
          <w:tcPr>
            <w:cnfStyle w:val="001000000000" w:firstRow="0" w:lastRow="0" w:firstColumn="1" w:lastColumn="0" w:oddVBand="0" w:evenVBand="0" w:oddHBand="0" w:evenHBand="0" w:firstRowFirstColumn="0" w:firstRowLastColumn="0" w:lastRowFirstColumn="0" w:lastRowLastColumn="0"/>
            <w:tcW w:w="3116" w:type="dxa"/>
          </w:tcPr>
          <w:p w:rsidR="00EC499D" w:rsidRPr="00F47F88" w:rsidRDefault="00EC499D" w:rsidP="00B2030D">
            <w:pPr>
              <w:rPr>
                <w:rFonts w:ascii="Times" w:hAnsi="Times"/>
                <w:sz w:val="24"/>
                <w:szCs w:val="24"/>
              </w:rPr>
            </w:pPr>
            <w:r w:rsidRPr="00F47F88">
              <w:rPr>
                <w:rFonts w:ascii="Times" w:hAnsi="Times"/>
                <w:sz w:val="24"/>
                <w:szCs w:val="24"/>
              </w:rPr>
              <w:t>KOP</w:t>
            </w:r>
          </w:p>
        </w:tc>
        <w:tc>
          <w:tcPr>
            <w:tcW w:w="3117" w:type="dxa"/>
          </w:tcPr>
          <w:p w:rsidR="00EC499D" w:rsidRPr="00F47F88" w:rsidRDefault="00EC499D" w:rsidP="00B2030D">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hAnsi="Times"/>
                <w:sz w:val="24"/>
                <w:szCs w:val="24"/>
              </w:rPr>
              <w:t>Specialty Chemicals</w:t>
            </w:r>
          </w:p>
        </w:tc>
        <w:tc>
          <w:tcPr>
            <w:tcW w:w="3117" w:type="dxa"/>
          </w:tcPr>
          <w:p w:rsidR="00EC499D" w:rsidRPr="00F47F88" w:rsidRDefault="00EC499D" w:rsidP="00B2030D">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hAnsi="Times" w:cs="Arial"/>
                <w:sz w:val="24"/>
                <w:szCs w:val="24"/>
              </w:rPr>
              <w:t>2,919B</w:t>
            </w:r>
          </w:p>
        </w:tc>
      </w:tr>
      <w:tr w:rsidR="00EC499D" w:rsidRPr="00F47F88" w:rsidTr="00B2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EC499D" w:rsidRPr="00F47F88" w:rsidRDefault="00EC499D" w:rsidP="00B2030D">
            <w:pPr>
              <w:rPr>
                <w:rFonts w:ascii="Times" w:hAnsi="Times"/>
                <w:sz w:val="24"/>
                <w:szCs w:val="24"/>
              </w:rPr>
            </w:pPr>
            <w:r w:rsidRPr="00F47F88">
              <w:rPr>
                <w:rFonts w:ascii="Times" w:hAnsi="Times"/>
                <w:sz w:val="24"/>
                <w:szCs w:val="24"/>
              </w:rPr>
              <w:t>ADP</w:t>
            </w:r>
          </w:p>
        </w:tc>
        <w:tc>
          <w:tcPr>
            <w:tcW w:w="3117" w:type="dxa"/>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F47F88">
              <w:rPr>
                <w:rFonts w:ascii="Times" w:hAnsi="Times"/>
                <w:sz w:val="24"/>
                <w:szCs w:val="24"/>
              </w:rPr>
              <w:t>Chemicals – Major Diversified</w:t>
            </w:r>
          </w:p>
        </w:tc>
        <w:tc>
          <w:tcPr>
            <w:tcW w:w="3117" w:type="dxa"/>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F47F88">
              <w:rPr>
                <w:rFonts w:ascii="Times" w:hAnsi="Times" w:cs="Arial"/>
                <w:sz w:val="24"/>
                <w:szCs w:val="24"/>
              </w:rPr>
              <w:t>13,040B</w:t>
            </w:r>
          </w:p>
        </w:tc>
      </w:tr>
      <w:tr w:rsidR="00EC499D" w:rsidRPr="00F47F88" w:rsidTr="00B2030D">
        <w:tc>
          <w:tcPr>
            <w:cnfStyle w:val="001000000000" w:firstRow="0" w:lastRow="0" w:firstColumn="1" w:lastColumn="0" w:oddVBand="0" w:evenVBand="0" w:oddHBand="0" w:evenHBand="0" w:firstRowFirstColumn="0" w:firstRowLastColumn="0" w:lastRowFirstColumn="0" w:lastRowLastColumn="0"/>
            <w:tcW w:w="3116" w:type="dxa"/>
          </w:tcPr>
          <w:p w:rsidR="00EC499D" w:rsidRPr="00F47F88" w:rsidRDefault="00EC499D" w:rsidP="00B2030D">
            <w:pPr>
              <w:rPr>
                <w:rFonts w:ascii="Times" w:hAnsi="Times"/>
                <w:sz w:val="24"/>
                <w:szCs w:val="24"/>
              </w:rPr>
            </w:pPr>
            <w:r w:rsidRPr="00F47F88">
              <w:rPr>
                <w:rFonts w:ascii="Times" w:hAnsi="Times"/>
                <w:sz w:val="24"/>
                <w:szCs w:val="24"/>
              </w:rPr>
              <w:t>HUN</w:t>
            </w:r>
          </w:p>
        </w:tc>
        <w:tc>
          <w:tcPr>
            <w:tcW w:w="3117" w:type="dxa"/>
          </w:tcPr>
          <w:p w:rsidR="00EC499D" w:rsidRPr="00F47F88" w:rsidRDefault="00EC499D" w:rsidP="00B2030D">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hAnsi="Times"/>
                <w:sz w:val="24"/>
                <w:szCs w:val="24"/>
              </w:rPr>
              <w:t>Chemicals –Major Diversified</w:t>
            </w:r>
          </w:p>
        </w:tc>
        <w:tc>
          <w:tcPr>
            <w:tcW w:w="3117" w:type="dxa"/>
          </w:tcPr>
          <w:p w:rsidR="00EC499D" w:rsidRPr="00F47F88" w:rsidRDefault="00EC499D" w:rsidP="00B2030D">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hAnsi="Times" w:cs="Arial"/>
                <w:sz w:val="24"/>
                <w:szCs w:val="24"/>
              </w:rPr>
              <w:t>13,040B</w:t>
            </w:r>
          </w:p>
        </w:tc>
      </w:tr>
    </w:tbl>
    <w:p w:rsidR="00EC499D" w:rsidRPr="00F47F88" w:rsidRDefault="00EC499D" w:rsidP="00EC499D">
      <w:pPr>
        <w:spacing w:after="0"/>
        <w:rPr>
          <w:rFonts w:ascii="Times" w:hAnsi="Times"/>
          <w:sz w:val="24"/>
          <w:szCs w:val="24"/>
        </w:rPr>
      </w:pPr>
    </w:p>
    <w:p w:rsidR="00EC499D" w:rsidRPr="00F47F88" w:rsidRDefault="00EC499D" w:rsidP="00EC499D">
      <w:pPr>
        <w:spacing w:after="0"/>
        <w:rPr>
          <w:rFonts w:ascii="Times" w:hAnsi="Times"/>
          <w:sz w:val="24"/>
          <w:szCs w:val="24"/>
        </w:rPr>
      </w:pPr>
    </w:p>
    <w:p w:rsidR="00EC499D" w:rsidRPr="00F47F88" w:rsidRDefault="00EC499D" w:rsidP="00EC499D">
      <w:pPr>
        <w:spacing w:after="0"/>
        <w:rPr>
          <w:rFonts w:ascii="Times" w:hAnsi="Times"/>
          <w:sz w:val="24"/>
          <w:szCs w:val="24"/>
        </w:rPr>
      </w:pPr>
      <w:r w:rsidRPr="00F47F88">
        <w:rPr>
          <w:rFonts w:ascii="Times" w:hAnsi="Times"/>
          <w:sz w:val="24"/>
          <w:szCs w:val="24"/>
        </w:rPr>
        <w:t>Figure 1.2 represents a competitive analysis regarding these organizations.</w:t>
      </w:r>
    </w:p>
    <w:tbl>
      <w:tblPr>
        <w:tblStyle w:val="GridTable6Colorful-Accent11"/>
        <w:tblW w:w="5000" w:type="pct"/>
        <w:tblLook w:val="04A0" w:firstRow="1" w:lastRow="0" w:firstColumn="1" w:lastColumn="0" w:noHBand="0" w:noVBand="1"/>
      </w:tblPr>
      <w:tblGrid>
        <w:gridCol w:w="3819"/>
        <w:gridCol w:w="1744"/>
        <w:gridCol w:w="1744"/>
        <w:gridCol w:w="1582"/>
        <w:gridCol w:w="1901"/>
      </w:tblGrid>
      <w:tr w:rsidR="00EC499D" w:rsidRPr="00F47F88" w:rsidTr="00B20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pct"/>
          </w:tcPr>
          <w:p w:rsidR="00EC499D" w:rsidRPr="00F47F88" w:rsidRDefault="00EC499D" w:rsidP="00B2030D">
            <w:pPr>
              <w:rPr>
                <w:rFonts w:ascii="Times" w:hAnsi="Times"/>
                <w:sz w:val="24"/>
                <w:szCs w:val="24"/>
              </w:rPr>
            </w:pPr>
            <w:r w:rsidRPr="00F47F88">
              <w:rPr>
                <w:rFonts w:ascii="Times" w:hAnsi="Times"/>
                <w:sz w:val="24"/>
                <w:szCs w:val="24"/>
              </w:rPr>
              <w:t>Tick:</w:t>
            </w:r>
          </w:p>
        </w:tc>
        <w:tc>
          <w:tcPr>
            <w:tcW w:w="808" w:type="pct"/>
          </w:tcPr>
          <w:p w:rsidR="00EC499D" w:rsidRPr="00F47F88" w:rsidRDefault="00EC499D" w:rsidP="00B2030D">
            <w:pPr>
              <w:cnfStyle w:val="100000000000" w:firstRow="1"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hAnsi="Times"/>
                <w:sz w:val="24"/>
                <w:szCs w:val="24"/>
              </w:rPr>
              <w:t>SCL</w:t>
            </w:r>
          </w:p>
        </w:tc>
        <w:tc>
          <w:tcPr>
            <w:tcW w:w="808" w:type="pct"/>
          </w:tcPr>
          <w:p w:rsidR="00EC499D" w:rsidRPr="00F47F88" w:rsidRDefault="00EC499D" w:rsidP="00B2030D">
            <w:pPr>
              <w:cnfStyle w:val="100000000000" w:firstRow="1"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hAnsi="Times"/>
                <w:sz w:val="24"/>
                <w:szCs w:val="24"/>
              </w:rPr>
              <w:t>KOP</w:t>
            </w:r>
          </w:p>
        </w:tc>
        <w:tc>
          <w:tcPr>
            <w:tcW w:w="733" w:type="pct"/>
          </w:tcPr>
          <w:p w:rsidR="00EC499D" w:rsidRPr="00F47F88" w:rsidRDefault="00EC499D" w:rsidP="00B2030D">
            <w:pPr>
              <w:cnfStyle w:val="100000000000" w:firstRow="1"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hAnsi="Times"/>
                <w:sz w:val="24"/>
                <w:szCs w:val="24"/>
              </w:rPr>
              <w:t>ADP</w:t>
            </w:r>
          </w:p>
        </w:tc>
        <w:tc>
          <w:tcPr>
            <w:tcW w:w="882" w:type="pct"/>
          </w:tcPr>
          <w:p w:rsidR="00EC499D" w:rsidRPr="00F47F88" w:rsidRDefault="00EC499D" w:rsidP="00B2030D">
            <w:pPr>
              <w:cnfStyle w:val="100000000000" w:firstRow="1"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hAnsi="Times"/>
                <w:sz w:val="24"/>
                <w:szCs w:val="24"/>
              </w:rPr>
              <w:t>HUN</w:t>
            </w:r>
          </w:p>
        </w:tc>
      </w:tr>
      <w:tr w:rsidR="00EC499D" w:rsidRPr="00F47F88" w:rsidTr="00B2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pct"/>
          </w:tcPr>
          <w:p w:rsidR="00EC499D" w:rsidRPr="00F47F88" w:rsidRDefault="00EC499D" w:rsidP="00B2030D">
            <w:pPr>
              <w:rPr>
                <w:rFonts w:ascii="Times" w:hAnsi="Times"/>
                <w:sz w:val="24"/>
                <w:szCs w:val="24"/>
              </w:rPr>
            </w:pPr>
            <w:r w:rsidRPr="00F47F88">
              <w:rPr>
                <w:rFonts w:ascii="Times" w:hAnsi="Times"/>
                <w:sz w:val="24"/>
                <w:szCs w:val="24"/>
              </w:rPr>
              <w:t>Market Cap</w:t>
            </w:r>
          </w:p>
        </w:tc>
        <w:tc>
          <w:tcPr>
            <w:tcW w:w="808" w:type="pct"/>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F47F88">
              <w:rPr>
                <w:rFonts w:ascii="Times" w:hAnsi="Times"/>
                <w:sz w:val="24"/>
                <w:szCs w:val="24"/>
              </w:rPr>
              <w:t>1.81B</w:t>
            </w:r>
          </w:p>
        </w:tc>
        <w:tc>
          <w:tcPr>
            <w:tcW w:w="808" w:type="pct"/>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F47F88">
              <w:rPr>
                <w:rFonts w:ascii="Times" w:hAnsi="Times"/>
                <w:sz w:val="24"/>
                <w:szCs w:val="24"/>
              </w:rPr>
              <w:t>819.28M</w:t>
            </w:r>
          </w:p>
        </w:tc>
        <w:tc>
          <w:tcPr>
            <w:tcW w:w="733" w:type="pct"/>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F47F88">
              <w:rPr>
                <w:rFonts w:ascii="Times" w:hAnsi="Times"/>
                <w:sz w:val="24"/>
                <w:szCs w:val="24"/>
              </w:rPr>
              <w:t>31.42B</w:t>
            </w:r>
          </w:p>
        </w:tc>
        <w:tc>
          <w:tcPr>
            <w:tcW w:w="882" w:type="pct"/>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F47F88">
              <w:rPr>
                <w:rFonts w:ascii="Times" w:hAnsi="Times"/>
                <w:sz w:val="24"/>
                <w:szCs w:val="24"/>
              </w:rPr>
              <w:t>4.59B</w:t>
            </w:r>
          </w:p>
        </w:tc>
      </w:tr>
      <w:tr w:rsidR="00EC499D" w:rsidRPr="00F47F88" w:rsidTr="00B2030D">
        <w:tc>
          <w:tcPr>
            <w:cnfStyle w:val="001000000000" w:firstRow="0" w:lastRow="0" w:firstColumn="1" w:lastColumn="0" w:oddVBand="0" w:evenVBand="0" w:oddHBand="0" w:evenHBand="0" w:firstRowFirstColumn="0" w:firstRowLastColumn="0" w:lastRowFirstColumn="0" w:lastRowLastColumn="0"/>
            <w:tcW w:w="1770" w:type="pct"/>
          </w:tcPr>
          <w:p w:rsidR="00EC499D" w:rsidRPr="00F47F88" w:rsidRDefault="00EC499D" w:rsidP="00B2030D">
            <w:pPr>
              <w:rPr>
                <w:rFonts w:ascii="Times" w:hAnsi="Times"/>
                <w:sz w:val="24"/>
                <w:szCs w:val="24"/>
              </w:rPr>
            </w:pPr>
            <w:r w:rsidRPr="00F47F88">
              <w:rPr>
                <w:rFonts w:ascii="Times" w:hAnsi="Times"/>
                <w:sz w:val="24"/>
                <w:szCs w:val="24"/>
              </w:rPr>
              <w:t>Size relative to industry (%)</w:t>
            </w:r>
          </w:p>
        </w:tc>
        <w:tc>
          <w:tcPr>
            <w:tcW w:w="808" w:type="pct"/>
          </w:tcPr>
          <w:p w:rsidR="00EC499D" w:rsidRPr="00F47F88" w:rsidRDefault="00EC499D" w:rsidP="00B2030D">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hAnsi="Times"/>
                <w:sz w:val="24"/>
                <w:szCs w:val="24"/>
              </w:rPr>
              <w:t>0.037708%</w:t>
            </w:r>
          </w:p>
        </w:tc>
        <w:tc>
          <w:tcPr>
            <w:tcW w:w="808" w:type="pct"/>
          </w:tcPr>
          <w:p w:rsidR="00EC499D" w:rsidRPr="00F47F88" w:rsidRDefault="00EC499D" w:rsidP="00B2030D">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hAnsi="Times"/>
                <w:sz w:val="24"/>
                <w:szCs w:val="24"/>
              </w:rPr>
              <w:t>0.000028%</w:t>
            </w:r>
          </w:p>
        </w:tc>
        <w:tc>
          <w:tcPr>
            <w:tcW w:w="733" w:type="pct"/>
          </w:tcPr>
          <w:p w:rsidR="00EC499D" w:rsidRPr="00F47F88" w:rsidRDefault="00EC499D" w:rsidP="00B2030D">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hAnsi="Times"/>
                <w:sz w:val="24"/>
                <w:szCs w:val="24"/>
              </w:rPr>
              <w:t>0.00241%</w:t>
            </w:r>
          </w:p>
        </w:tc>
        <w:tc>
          <w:tcPr>
            <w:tcW w:w="882" w:type="pct"/>
          </w:tcPr>
          <w:p w:rsidR="00EC499D" w:rsidRPr="00F47F88" w:rsidRDefault="00EC499D" w:rsidP="00B2030D">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hAnsi="Times"/>
                <w:sz w:val="24"/>
                <w:szCs w:val="24"/>
              </w:rPr>
              <w:t>0.0000352%</w:t>
            </w:r>
          </w:p>
        </w:tc>
      </w:tr>
      <w:tr w:rsidR="00EC499D" w:rsidRPr="00F47F88" w:rsidTr="00B2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pct"/>
          </w:tcPr>
          <w:p w:rsidR="00EC499D" w:rsidRPr="00F47F88" w:rsidRDefault="00EC499D" w:rsidP="00B2030D">
            <w:pPr>
              <w:rPr>
                <w:rFonts w:ascii="Times" w:hAnsi="Times"/>
                <w:sz w:val="24"/>
                <w:szCs w:val="24"/>
              </w:rPr>
            </w:pPr>
          </w:p>
        </w:tc>
        <w:tc>
          <w:tcPr>
            <w:tcW w:w="808" w:type="pct"/>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808" w:type="pct"/>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733" w:type="pct"/>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882" w:type="pct"/>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r>
    </w:tbl>
    <w:p w:rsidR="00EC499D" w:rsidRPr="00F47F88" w:rsidRDefault="00EC499D" w:rsidP="00EC499D">
      <w:pPr>
        <w:spacing w:after="0"/>
        <w:rPr>
          <w:rFonts w:ascii="Times" w:hAnsi="Times"/>
          <w:sz w:val="24"/>
          <w:szCs w:val="24"/>
        </w:rPr>
      </w:pPr>
    </w:p>
    <w:p w:rsidR="00EC499D" w:rsidRPr="00E71C10" w:rsidRDefault="00EC499D" w:rsidP="00EC499D">
      <w:pPr>
        <w:spacing w:after="0" w:line="480" w:lineRule="auto"/>
        <w:rPr>
          <w:rFonts w:ascii="Times" w:hAnsi="Times"/>
          <w:sz w:val="24"/>
          <w:szCs w:val="24"/>
          <w:u w:val="single"/>
        </w:rPr>
      </w:pPr>
      <w:r w:rsidRPr="00E71C10">
        <w:rPr>
          <w:rFonts w:ascii="Times" w:hAnsi="Times"/>
          <w:sz w:val="24"/>
          <w:szCs w:val="24"/>
          <w:u w:val="single"/>
        </w:rPr>
        <w:lastRenderedPageBreak/>
        <w:t>Products relative to competitors</w:t>
      </w:r>
    </w:p>
    <w:p w:rsidR="00EC499D" w:rsidRPr="00F47F88" w:rsidRDefault="00EC499D" w:rsidP="00EC499D">
      <w:pPr>
        <w:spacing w:after="0" w:line="480" w:lineRule="auto"/>
        <w:rPr>
          <w:rFonts w:ascii="Times" w:hAnsi="Times"/>
          <w:sz w:val="24"/>
          <w:szCs w:val="24"/>
        </w:rPr>
      </w:pPr>
      <w:r w:rsidRPr="00F47F88">
        <w:rPr>
          <w:rFonts w:ascii="Times" w:hAnsi="Times"/>
          <w:sz w:val="24"/>
          <w:szCs w:val="24"/>
        </w:rPr>
        <w:tab/>
        <w:t xml:space="preserve">Stepan Company has a large spectrum of products that has many applications within the following market and industries. Agricultural products, antimicrobials, beverages, construction, dietary supplements, emulsion polymerization, flavors, food, household, institutional and industrial cleaning, industrial products, laundry and cleaning, nutrition, nutritional powders, oil field, personal care, pharmaceutical, phthalic anhydride, polyester polyols: C.A.S.E., polyester polyols: flexible foam, polyester polyols: powder coating resin, and polyester polyols: rigid foam. </w:t>
      </w:r>
    </w:p>
    <w:p w:rsidR="00EC499D" w:rsidRPr="00F47F88" w:rsidRDefault="00EC499D" w:rsidP="00EC499D">
      <w:pPr>
        <w:spacing w:after="0" w:line="480" w:lineRule="auto"/>
        <w:rPr>
          <w:rFonts w:ascii="Times" w:hAnsi="Times"/>
          <w:sz w:val="24"/>
          <w:szCs w:val="24"/>
        </w:rPr>
      </w:pPr>
      <w:r>
        <w:rPr>
          <w:rFonts w:ascii="Times" w:hAnsi="Times"/>
          <w:sz w:val="24"/>
          <w:szCs w:val="24"/>
        </w:rPr>
        <w:tab/>
      </w:r>
      <w:r w:rsidRPr="00F47F88">
        <w:rPr>
          <w:rFonts w:ascii="Times" w:hAnsi="Times"/>
          <w:sz w:val="24"/>
          <w:szCs w:val="24"/>
        </w:rPr>
        <w:t>Koppers Holding products include the following: Carbon materials and chemicals, railroad products and serv</w:t>
      </w:r>
      <w:r>
        <w:rPr>
          <w:rFonts w:ascii="Times" w:hAnsi="Times"/>
          <w:sz w:val="24"/>
          <w:szCs w:val="24"/>
        </w:rPr>
        <w:t>ices, and performance chemicals.</w:t>
      </w:r>
    </w:p>
    <w:p w:rsidR="00EC499D" w:rsidRPr="00F47F88" w:rsidRDefault="00EC499D" w:rsidP="00EC499D">
      <w:pPr>
        <w:spacing w:after="0" w:line="480" w:lineRule="auto"/>
        <w:rPr>
          <w:rFonts w:ascii="Times" w:hAnsi="Times"/>
          <w:sz w:val="24"/>
          <w:szCs w:val="24"/>
        </w:rPr>
      </w:pPr>
      <w:r w:rsidRPr="00F47F88">
        <w:rPr>
          <w:rFonts w:ascii="Times" w:hAnsi="Times"/>
          <w:sz w:val="24"/>
          <w:szCs w:val="24"/>
        </w:rPr>
        <w:tab/>
        <w:t xml:space="preserve">Air Products and Chemicals products include: a wide range of gasses, chemicals much like Stepan company, and equipment to support gasses and chemicals they produce such as food freezers, oxy-fuel burners, and heat exchangers. </w:t>
      </w:r>
    </w:p>
    <w:p w:rsidR="00EC499D" w:rsidRPr="00F47F88" w:rsidRDefault="00EC499D" w:rsidP="00EC499D">
      <w:pPr>
        <w:spacing w:after="0" w:line="480" w:lineRule="auto"/>
        <w:rPr>
          <w:rFonts w:ascii="Times" w:hAnsi="Times"/>
          <w:sz w:val="24"/>
          <w:szCs w:val="24"/>
        </w:rPr>
      </w:pPr>
      <w:r w:rsidRPr="00F47F88">
        <w:rPr>
          <w:rFonts w:ascii="Times" w:hAnsi="Times"/>
          <w:sz w:val="24"/>
          <w:szCs w:val="24"/>
        </w:rPr>
        <w:tab/>
        <w:t xml:space="preserve">Huntsman Corporation products include chemicals, plastics, detergent, personal care, rubber and packaging industries. Much of the chemicals and detergents are the same ingredients as Stepan Company’s. </w:t>
      </w:r>
    </w:p>
    <w:p w:rsidR="00EC499D" w:rsidRDefault="00EC499D" w:rsidP="00EC499D">
      <w:pPr>
        <w:spacing w:after="0"/>
        <w:rPr>
          <w:rFonts w:ascii="Times" w:hAnsi="Times"/>
          <w:sz w:val="24"/>
          <w:szCs w:val="24"/>
          <w:u w:val="single"/>
        </w:rPr>
      </w:pPr>
      <w:r w:rsidRPr="00E71C10">
        <w:rPr>
          <w:rFonts w:ascii="Times" w:hAnsi="Times"/>
          <w:sz w:val="24"/>
          <w:szCs w:val="24"/>
          <w:u w:val="single"/>
        </w:rPr>
        <w:t>SWOT Analysis:</w:t>
      </w:r>
    </w:p>
    <w:p w:rsidR="00EC499D" w:rsidRPr="00E71C10" w:rsidRDefault="00EC499D" w:rsidP="00EC499D">
      <w:pPr>
        <w:spacing w:after="0"/>
        <w:rPr>
          <w:rFonts w:ascii="Times" w:hAnsi="Times"/>
          <w:sz w:val="24"/>
          <w:szCs w:val="24"/>
          <w:u w:val="single"/>
        </w:rPr>
      </w:pPr>
    </w:p>
    <w:p w:rsidR="00EC499D" w:rsidRDefault="00EC499D" w:rsidP="00EC499D">
      <w:pPr>
        <w:spacing w:after="0"/>
        <w:rPr>
          <w:rFonts w:ascii="Times" w:hAnsi="Times"/>
          <w:i/>
          <w:sz w:val="24"/>
          <w:szCs w:val="24"/>
        </w:rPr>
      </w:pPr>
      <w:r w:rsidRPr="00E324E1">
        <w:rPr>
          <w:rFonts w:ascii="Times" w:hAnsi="Times"/>
          <w:i/>
          <w:sz w:val="24"/>
          <w:szCs w:val="24"/>
        </w:rPr>
        <w:t>Stepan Company</w:t>
      </w:r>
    </w:p>
    <w:p w:rsidR="00EC499D" w:rsidRPr="00E324E1" w:rsidRDefault="00EC499D" w:rsidP="00EC499D">
      <w:pPr>
        <w:spacing w:after="0"/>
        <w:rPr>
          <w:rFonts w:ascii="Times" w:hAnsi="Times"/>
          <w:i/>
          <w:sz w:val="24"/>
          <w:szCs w:val="24"/>
        </w:rPr>
      </w:pPr>
    </w:p>
    <w:tbl>
      <w:tblPr>
        <w:tblStyle w:val="GridTable6Colorful-Accent51"/>
        <w:tblW w:w="5000" w:type="pct"/>
        <w:tblLook w:val="04A0" w:firstRow="1" w:lastRow="0" w:firstColumn="1" w:lastColumn="0" w:noHBand="0" w:noVBand="1"/>
      </w:tblPr>
      <w:tblGrid>
        <w:gridCol w:w="4933"/>
        <w:gridCol w:w="5857"/>
      </w:tblGrid>
      <w:tr w:rsidR="00EC499D" w:rsidRPr="00F47F88" w:rsidTr="00B20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pct"/>
          </w:tcPr>
          <w:p w:rsidR="00EC499D" w:rsidRPr="00F47F88" w:rsidRDefault="00EC499D" w:rsidP="00B2030D">
            <w:pPr>
              <w:rPr>
                <w:rFonts w:ascii="Times" w:hAnsi="Times"/>
                <w:sz w:val="24"/>
                <w:szCs w:val="24"/>
              </w:rPr>
            </w:pPr>
            <w:r w:rsidRPr="00F47F88">
              <w:rPr>
                <w:rFonts w:ascii="Times" w:hAnsi="Times"/>
                <w:sz w:val="24"/>
                <w:szCs w:val="24"/>
              </w:rPr>
              <w:t>Strengths</w:t>
            </w:r>
          </w:p>
        </w:tc>
        <w:tc>
          <w:tcPr>
            <w:tcW w:w="2714" w:type="pct"/>
          </w:tcPr>
          <w:p w:rsidR="00EC499D" w:rsidRPr="00F47F88" w:rsidRDefault="00EC499D" w:rsidP="00B2030D">
            <w:pPr>
              <w:cnfStyle w:val="100000000000" w:firstRow="1"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hAnsi="Times"/>
                <w:sz w:val="24"/>
                <w:szCs w:val="24"/>
              </w:rPr>
              <w:t>Weaknesses</w:t>
            </w:r>
          </w:p>
        </w:tc>
      </w:tr>
      <w:tr w:rsidR="00EC499D" w:rsidRPr="00F47F88" w:rsidTr="00B2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6"/>
            </w:tblGrid>
            <w:tr w:rsidR="00EC499D" w:rsidRPr="00F47F88" w:rsidTr="00B2030D">
              <w:trPr>
                <w:tblCellSpacing w:w="15" w:type="dxa"/>
              </w:trPr>
              <w:tc>
                <w:tcPr>
                  <w:tcW w:w="2896" w:type="dxa"/>
                  <w:vAlign w:val="center"/>
                  <w:hideMark/>
                </w:tcPr>
                <w:p w:rsidR="00EC499D" w:rsidRPr="00F47F88" w:rsidRDefault="00EC499D" w:rsidP="00B2030D">
                  <w:pPr>
                    <w:spacing w:after="0"/>
                    <w:rPr>
                      <w:rFonts w:ascii="Times" w:eastAsia="Times New Roman" w:hAnsi="Times" w:cs="Times New Roman"/>
                      <w:sz w:val="24"/>
                      <w:szCs w:val="24"/>
                    </w:rPr>
                  </w:pPr>
                  <w:r w:rsidRPr="00F47F88">
                    <w:rPr>
                      <w:rFonts w:ascii="Times" w:eastAsia="Times New Roman" w:hAnsi="Times" w:cs="Times New Roman"/>
                      <w:sz w:val="24"/>
                      <w:szCs w:val="24"/>
                    </w:rPr>
                    <w:t>Monetary assistance provided</w:t>
                  </w:r>
                </w:p>
                <w:p w:rsidR="00EC499D" w:rsidRPr="00F47F88" w:rsidRDefault="00EC499D" w:rsidP="00B2030D">
                  <w:pPr>
                    <w:spacing w:after="0"/>
                    <w:rPr>
                      <w:rFonts w:ascii="Times" w:eastAsia="Times New Roman" w:hAnsi="Times" w:cs="Times New Roman"/>
                      <w:sz w:val="24"/>
                      <w:szCs w:val="24"/>
                    </w:rPr>
                  </w:pPr>
                  <w:r w:rsidRPr="00F47F88">
                    <w:rPr>
                      <w:rFonts w:ascii="Times" w:eastAsia="Times New Roman" w:hAnsi="Times" w:cs="Times New Roman"/>
                      <w:sz w:val="24"/>
                      <w:szCs w:val="24"/>
                    </w:rPr>
                    <w:t>Reduced labor costs</w:t>
                  </w:r>
                  <w:r w:rsidRPr="00F47F88">
                    <w:rPr>
                      <w:rFonts w:ascii="Times" w:eastAsia="Times New Roman" w:hAnsi="Times" w:cs="Times New Roman"/>
                      <w:sz w:val="24"/>
                      <w:szCs w:val="24"/>
                    </w:rPr>
                    <w:br/>
                    <w:t>Experienced business units</w:t>
                  </w:r>
                </w:p>
              </w:tc>
            </w:tr>
          </w:tbl>
          <w:p w:rsidR="00EC499D" w:rsidRPr="00F47F88" w:rsidRDefault="00EC499D" w:rsidP="00B2030D">
            <w:pPr>
              <w:rPr>
                <w:rFonts w:ascii="Times" w:eastAsia="Times New Roman" w:hAnsi="Times" w:cs="Times New Roman"/>
                <w:b w:val="0"/>
                <w:bCs w:val="0"/>
                <w:color w:val="auto"/>
                <w:sz w:val="24"/>
                <w:szCs w:val="24"/>
              </w:rPr>
            </w:pPr>
          </w:p>
        </w:tc>
        <w:tc>
          <w:tcPr>
            <w:tcW w:w="2714" w:type="pct"/>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auto"/>
                <w:sz w:val="24"/>
                <w:szCs w:val="24"/>
              </w:rPr>
            </w:pPr>
            <w:r w:rsidRPr="00F47F88">
              <w:rPr>
                <w:rFonts w:ascii="Times" w:eastAsia="Times New Roman" w:hAnsi="Times" w:cs="Times New Roman"/>
                <w:color w:val="auto"/>
                <w:sz w:val="24"/>
                <w:szCs w:val="24"/>
              </w:rPr>
              <w:t>Small business units</w:t>
            </w:r>
          </w:p>
        </w:tc>
      </w:tr>
      <w:tr w:rsidR="00EC499D" w:rsidRPr="00F47F88" w:rsidTr="00B2030D">
        <w:tc>
          <w:tcPr>
            <w:cnfStyle w:val="001000000000" w:firstRow="0" w:lastRow="0" w:firstColumn="1" w:lastColumn="0" w:oddVBand="0" w:evenVBand="0" w:oddHBand="0" w:evenHBand="0" w:firstRowFirstColumn="0" w:firstRowLastColumn="0" w:lastRowFirstColumn="0" w:lastRowLastColumn="0"/>
            <w:tcW w:w="2286" w:type="pct"/>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Opportunities</w:t>
            </w:r>
          </w:p>
        </w:tc>
        <w:tc>
          <w:tcPr>
            <w:tcW w:w="2714" w:type="pct"/>
          </w:tcPr>
          <w:p w:rsidR="00EC499D" w:rsidRPr="00F47F88" w:rsidRDefault="00EC499D" w:rsidP="00B2030D">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F47F88">
              <w:rPr>
                <w:rFonts w:ascii="Times" w:eastAsia="Times New Roman" w:hAnsi="Times" w:cs="Times New Roman"/>
                <w:sz w:val="24"/>
                <w:szCs w:val="24"/>
              </w:rPr>
              <w:t>Threats</w:t>
            </w:r>
          </w:p>
        </w:tc>
      </w:tr>
      <w:tr w:rsidR="00EC499D" w:rsidRPr="00F47F88" w:rsidTr="00B2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pct"/>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New acquisitions</w:t>
            </w:r>
            <w:r w:rsidRPr="00F47F88">
              <w:rPr>
                <w:rFonts w:ascii="Times" w:eastAsia="Times New Roman" w:hAnsi="Times" w:cs="Times New Roman"/>
                <w:sz w:val="24"/>
                <w:szCs w:val="24"/>
              </w:rPr>
              <w:br/>
              <w:t>Income level is at a constant increase</w:t>
            </w:r>
            <w:r w:rsidRPr="00F47F88">
              <w:rPr>
                <w:rFonts w:ascii="Times" w:eastAsia="Times New Roman" w:hAnsi="Times" w:cs="Times New Roman"/>
                <w:sz w:val="24"/>
                <w:szCs w:val="24"/>
              </w:rPr>
              <w:br/>
              <w:t>New products and services</w:t>
            </w:r>
          </w:p>
          <w:p w:rsidR="00EC499D" w:rsidRPr="00F47F88" w:rsidRDefault="00EC499D" w:rsidP="00B2030D">
            <w:pPr>
              <w:rPr>
                <w:rFonts w:ascii="Times" w:eastAsia="Times New Roman" w:hAnsi="Times" w:cs="Times New Roman"/>
                <w:sz w:val="24"/>
                <w:szCs w:val="24"/>
              </w:rPr>
            </w:pPr>
          </w:p>
        </w:tc>
        <w:tc>
          <w:tcPr>
            <w:tcW w:w="2714" w:type="pct"/>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F47F88">
              <w:rPr>
                <w:rFonts w:ascii="Times" w:eastAsia="Times New Roman" w:hAnsi="Times" w:cs="Times New Roman"/>
                <w:sz w:val="24"/>
                <w:szCs w:val="24"/>
              </w:rPr>
              <w:t>External business risks</w:t>
            </w:r>
            <w:r w:rsidRPr="00F47F88">
              <w:rPr>
                <w:rFonts w:ascii="Times" w:eastAsia="Times New Roman" w:hAnsi="Times" w:cs="Times New Roman"/>
                <w:sz w:val="24"/>
                <w:szCs w:val="24"/>
              </w:rPr>
              <w:br/>
              <w:t>Growing competition and lower profitability</w:t>
            </w:r>
            <w:r w:rsidRPr="00F47F88">
              <w:rPr>
                <w:rFonts w:ascii="Times" w:eastAsia="Times New Roman" w:hAnsi="Times" w:cs="Times New Roman"/>
                <w:sz w:val="24"/>
                <w:szCs w:val="24"/>
              </w:rPr>
              <w:br/>
              <w:t>Financial capacity</w:t>
            </w:r>
            <w:r w:rsidRPr="00F47F88">
              <w:rPr>
                <w:rFonts w:ascii="Times" w:eastAsia="Times New Roman" w:hAnsi="Times" w:cs="Times New Roman"/>
                <w:sz w:val="24"/>
                <w:szCs w:val="24"/>
              </w:rPr>
              <w:br/>
              <w:t>Rising cost of raw materials</w:t>
            </w:r>
            <w:r w:rsidRPr="00F47F88">
              <w:rPr>
                <w:rFonts w:ascii="Times" w:eastAsia="Times New Roman" w:hAnsi="Times" w:cs="Times New Roman"/>
                <w:sz w:val="24"/>
                <w:szCs w:val="24"/>
              </w:rPr>
              <w:br/>
              <w:t>Government regulations</w:t>
            </w:r>
            <w:r w:rsidRPr="00F47F88">
              <w:rPr>
                <w:rFonts w:ascii="Times" w:eastAsia="Times New Roman" w:hAnsi="Times" w:cs="Times New Roman"/>
                <w:sz w:val="24"/>
                <w:szCs w:val="24"/>
              </w:rPr>
              <w:br/>
              <w:t>Increasing rates of interest</w:t>
            </w:r>
            <w:r w:rsidRPr="00F47F88">
              <w:rPr>
                <w:rFonts w:ascii="Times" w:eastAsia="Times New Roman" w:hAnsi="Times" w:cs="Times New Roman"/>
                <w:sz w:val="24"/>
                <w:szCs w:val="24"/>
              </w:rPr>
              <w:br/>
              <w:t>Increasing costs</w:t>
            </w:r>
          </w:p>
        </w:tc>
      </w:tr>
    </w:tbl>
    <w:p w:rsidR="00EC499D" w:rsidRPr="00F47F88" w:rsidRDefault="00EC499D" w:rsidP="00EC499D">
      <w:pPr>
        <w:rPr>
          <w:rFonts w:ascii="Times" w:hAnsi="Times"/>
          <w:sz w:val="24"/>
          <w:szCs w:val="24"/>
        </w:rPr>
      </w:pPr>
    </w:p>
    <w:p w:rsidR="00EC499D" w:rsidRPr="00E324E1" w:rsidRDefault="00EC499D" w:rsidP="00EC499D">
      <w:pPr>
        <w:rPr>
          <w:rFonts w:ascii="Times" w:hAnsi="Times"/>
          <w:i/>
          <w:sz w:val="24"/>
          <w:szCs w:val="24"/>
        </w:rPr>
      </w:pPr>
      <w:r w:rsidRPr="00E324E1">
        <w:rPr>
          <w:rFonts w:ascii="Times" w:hAnsi="Times"/>
          <w:i/>
          <w:sz w:val="24"/>
          <w:szCs w:val="24"/>
        </w:rPr>
        <w:lastRenderedPageBreak/>
        <w:t>Koppers Holding:</w:t>
      </w:r>
    </w:p>
    <w:tbl>
      <w:tblPr>
        <w:tblStyle w:val="GridTable6Colorful-Accent51"/>
        <w:tblW w:w="5000" w:type="pct"/>
        <w:tblLook w:val="04A0" w:firstRow="1" w:lastRow="0" w:firstColumn="1" w:lastColumn="0" w:noHBand="0" w:noVBand="1"/>
      </w:tblPr>
      <w:tblGrid>
        <w:gridCol w:w="5395"/>
        <w:gridCol w:w="5395"/>
      </w:tblGrid>
      <w:tr w:rsidR="00EC499D" w:rsidRPr="00F47F88" w:rsidTr="00B20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7"/>
            </w:tblGrid>
            <w:tr w:rsidR="00EC499D" w:rsidRPr="00F47F88" w:rsidTr="00B2030D">
              <w:trPr>
                <w:tblCellSpacing w:w="15" w:type="dxa"/>
              </w:trPr>
              <w:tc>
                <w:tcPr>
                  <w:tcW w:w="0" w:type="auto"/>
                  <w:vAlign w:val="center"/>
                  <w:hideMark/>
                </w:tcPr>
                <w:p w:rsidR="00EC499D" w:rsidRPr="00F47F88" w:rsidRDefault="00EC499D" w:rsidP="00B2030D">
                  <w:pPr>
                    <w:spacing w:after="0"/>
                    <w:rPr>
                      <w:rFonts w:ascii="Times" w:eastAsia="Times New Roman" w:hAnsi="Times" w:cs="Times New Roman"/>
                      <w:sz w:val="24"/>
                      <w:szCs w:val="24"/>
                    </w:rPr>
                  </w:pPr>
                  <w:r w:rsidRPr="00F47F88">
                    <w:rPr>
                      <w:rFonts w:ascii="Times" w:eastAsia="Times New Roman" w:hAnsi="Times" w:cs="Times New Roman"/>
                      <w:b/>
                      <w:bCs/>
                      <w:sz w:val="24"/>
                      <w:szCs w:val="24"/>
                    </w:rPr>
                    <w:t>Strengths</w:t>
                  </w:r>
                </w:p>
              </w:tc>
            </w:tr>
          </w:tbl>
          <w:p w:rsidR="00EC499D" w:rsidRPr="00F47F88" w:rsidRDefault="00EC499D" w:rsidP="00B2030D">
            <w:pPr>
              <w:rPr>
                <w:rFonts w:ascii="Times" w:hAnsi="Times"/>
                <w:sz w:val="24"/>
                <w:szCs w:val="24"/>
              </w:rPr>
            </w:pPr>
          </w:p>
        </w:tc>
        <w:tc>
          <w:tcPr>
            <w:tcW w:w="2500"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7"/>
            </w:tblGrid>
            <w:tr w:rsidR="00EC499D" w:rsidRPr="00F47F88" w:rsidTr="00B2030D">
              <w:trPr>
                <w:tblCellSpacing w:w="15" w:type="dxa"/>
              </w:trPr>
              <w:tc>
                <w:tcPr>
                  <w:tcW w:w="0" w:type="auto"/>
                  <w:vAlign w:val="center"/>
                  <w:hideMark/>
                </w:tcPr>
                <w:p w:rsidR="00EC499D" w:rsidRPr="00F47F88" w:rsidRDefault="00EC499D" w:rsidP="00B2030D">
                  <w:pPr>
                    <w:spacing w:after="0"/>
                    <w:rPr>
                      <w:rFonts w:ascii="Times" w:eastAsia="Times New Roman" w:hAnsi="Times" w:cs="Times New Roman"/>
                      <w:sz w:val="24"/>
                      <w:szCs w:val="24"/>
                    </w:rPr>
                  </w:pPr>
                  <w:r w:rsidRPr="00F47F88">
                    <w:rPr>
                      <w:rFonts w:ascii="Times" w:eastAsia="Times New Roman" w:hAnsi="Times" w:cs="Times New Roman"/>
                      <w:b/>
                      <w:bCs/>
                      <w:sz w:val="24"/>
                      <w:szCs w:val="24"/>
                    </w:rPr>
                    <w:t>Weaknesses</w:t>
                  </w:r>
                </w:p>
              </w:tc>
            </w:tr>
          </w:tbl>
          <w:p w:rsidR="00EC499D" w:rsidRPr="00F47F88" w:rsidRDefault="00EC499D" w:rsidP="00B2030D">
            <w:pPr>
              <w:cnfStyle w:val="100000000000" w:firstRow="1" w:lastRow="0" w:firstColumn="0" w:lastColumn="0" w:oddVBand="0" w:evenVBand="0" w:oddHBand="0" w:evenHBand="0" w:firstRowFirstColumn="0" w:firstRowLastColumn="0" w:lastRowFirstColumn="0" w:lastRowLastColumn="0"/>
              <w:rPr>
                <w:rFonts w:ascii="Times" w:hAnsi="Times"/>
                <w:sz w:val="24"/>
                <w:szCs w:val="24"/>
              </w:rPr>
            </w:pPr>
          </w:p>
        </w:tc>
      </w:tr>
      <w:tr w:rsidR="00EC499D" w:rsidRPr="00F47F88" w:rsidTr="00B2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EC499D" w:rsidRPr="00F47F88" w:rsidRDefault="00EC499D" w:rsidP="00B2030D">
            <w:pPr>
              <w:rPr>
                <w:rFonts w:ascii="Times" w:hAnsi="Times"/>
                <w:sz w:val="24"/>
                <w:szCs w:val="24"/>
              </w:rPr>
            </w:pPr>
            <w:r w:rsidRPr="00F47F88">
              <w:rPr>
                <w:rFonts w:ascii="Times" w:eastAsia="Times New Roman" w:hAnsi="Times" w:cs="Times New Roman"/>
                <w:sz w:val="24"/>
                <w:szCs w:val="24"/>
              </w:rPr>
              <w:t>Skilled workforce</w:t>
            </w:r>
            <w:r w:rsidRPr="00F47F88">
              <w:rPr>
                <w:rFonts w:ascii="Times" w:eastAsia="Times New Roman" w:hAnsi="Times" w:cs="Times New Roman"/>
                <w:sz w:val="24"/>
                <w:szCs w:val="24"/>
              </w:rPr>
              <w:br/>
              <w:t>Reduced labor costs</w:t>
            </w:r>
            <w:r w:rsidRPr="00F47F88">
              <w:rPr>
                <w:rFonts w:ascii="Times" w:eastAsia="Times New Roman" w:hAnsi="Times" w:cs="Times New Roman"/>
                <w:sz w:val="24"/>
                <w:szCs w:val="24"/>
              </w:rPr>
              <w:br/>
              <w:t>High profitability and revenue</w:t>
            </w:r>
            <w:r w:rsidRPr="00F47F88">
              <w:rPr>
                <w:rFonts w:ascii="Times" w:eastAsia="Times New Roman" w:hAnsi="Times" w:cs="Times New Roman"/>
                <w:sz w:val="24"/>
                <w:szCs w:val="24"/>
              </w:rPr>
              <w:br/>
              <w:t>Domestic market</w:t>
            </w:r>
            <w:r w:rsidRPr="00F47F88">
              <w:rPr>
                <w:rFonts w:ascii="Times" w:eastAsia="Times New Roman" w:hAnsi="Times" w:cs="Times New Roman"/>
                <w:sz w:val="24"/>
                <w:szCs w:val="24"/>
              </w:rPr>
              <w:br/>
              <w:t>Experienced business units</w:t>
            </w:r>
          </w:p>
        </w:tc>
        <w:tc>
          <w:tcPr>
            <w:tcW w:w="2500" w:type="pct"/>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F47F88">
              <w:rPr>
                <w:rFonts w:ascii="Times" w:eastAsia="Times New Roman" w:hAnsi="Times" w:cs="Times New Roman"/>
                <w:sz w:val="24"/>
                <w:szCs w:val="24"/>
              </w:rPr>
              <w:t>Future productivity</w:t>
            </w:r>
          </w:p>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r>
      <w:tr w:rsidR="00EC499D" w:rsidRPr="00F47F88" w:rsidTr="00B2030D">
        <w:tc>
          <w:tcPr>
            <w:cnfStyle w:val="001000000000" w:firstRow="0" w:lastRow="0" w:firstColumn="1" w:lastColumn="0" w:oddVBand="0" w:evenVBand="0" w:oddHBand="0" w:evenHBand="0" w:firstRowFirstColumn="0" w:firstRowLastColumn="0" w:lastRowFirstColumn="0" w:lastRowLastColumn="0"/>
            <w:tcW w:w="2500" w:type="pct"/>
          </w:tcPr>
          <w:p w:rsidR="00EC499D" w:rsidRPr="00F47F88" w:rsidRDefault="00EC499D" w:rsidP="00B2030D">
            <w:pPr>
              <w:rPr>
                <w:rFonts w:ascii="Times" w:hAnsi="Times"/>
                <w:sz w:val="24"/>
                <w:szCs w:val="24"/>
              </w:rPr>
            </w:pPr>
            <w:r w:rsidRPr="00F47F88">
              <w:rPr>
                <w:rFonts w:ascii="Times" w:eastAsia="Times New Roman" w:hAnsi="Times" w:cs="Times New Roman"/>
                <w:sz w:val="24"/>
                <w:szCs w:val="24"/>
              </w:rPr>
              <w:t>Opportunities</w:t>
            </w:r>
          </w:p>
        </w:tc>
        <w:tc>
          <w:tcPr>
            <w:tcW w:w="2500" w:type="pct"/>
          </w:tcPr>
          <w:p w:rsidR="00EC499D" w:rsidRPr="00F47F88" w:rsidRDefault="00EC499D" w:rsidP="00B2030D">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eastAsia="Times New Roman" w:hAnsi="Times" w:cs="Times New Roman"/>
                <w:b/>
                <w:bCs/>
                <w:sz w:val="24"/>
                <w:szCs w:val="24"/>
              </w:rPr>
              <w:t>Threats</w:t>
            </w:r>
          </w:p>
        </w:tc>
      </w:tr>
      <w:tr w:rsidR="00EC499D" w:rsidRPr="00F47F88" w:rsidTr="00B2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0"/>
            </w:tblGrid>
            <w:tr w:rsidR="00EC499D" w:rsidRPr="00F47F88" w:rsidTr="00B2030D">
              <w:trPr>
                <w:tblCellSpacing w:w="15" w:type="dxa"/>
              </w:trPr>
              <w:tc>
                <w:tcPr>
                  <w:tcW w:w="0" w:type="auto"/>
                  <w:vAlign w:val="center"/>
                  <w:hideMark/>
                </w:tcPr>
                <w:p w:rsidR="00EC499D" w:rsidRPr="00F47F88" w:rsidRDefault="00EC499D" w:rsidP="00B2030D">
                  <w:pPr>
                    <w:spacing w:after="0"/>
                    <w:rPr>
                      <w:rFonts w:ascii="Times" w:eastAsia="Times New Roman" w:hAnsi="Times" w:cs="Times New Roman"/>
                      <w:sz w:val="24"/>
                      <w:szCs w:val="24"/>
                    </w:rPr>
                  </w:pPr>
                  <w:r w:rsidRPr="00F47F88">
                    <w:rPr>
                      <w:rFonts w:ascii="Times" w:eastAsia="Times New Roman" w:hAnsi="Times" w:cs="Times New Roman"/>
                      <w:sz w:val="24"/>
                      <w:szCs w:val="24"/>
                    </w:rPr>
                    <w:t>Growth rates and profitability</w:t>
                  </w:r>
                  <w:r w:rsidRPr="00F47F88">
                    <w:rPr>
                      <w:rFonts w:ascii="Times" w:eastAsia="Times New Roman" w:hAnsi="Times" w:cs="Times New Roman"/>
                      <w:sz w:val="24"/>
                      <w:szCs w:val="24"/>
                    </w:rPr>
                    <w:br/>
                    <w:t>Growing economy</w:t>
                  </w:r>
                  <w:r w:rsidRPr="00F47F88">
                    <w:rPr>
                      <w:rFonts w:ascii="Times" w:eastAsia="Times New Roman" w:hAnsi="Times" w:cs="Times New Roman"/>
                      <w:sz w:val="24"/>
                      <w:szCs w:val="24"/>
                    </w:rPr>
                    <w:br/>
                    <w:t>New acquisitions</w:t>
                  </w:r>
                </w:p>
                <w:p w:rsidR="00EC499D" w:rsidRPr="00F47F88" w:rsidRDefault="00EC499D" w:rsidP="00B2030D">
                  <w:pPr>
                    <w:spacing w:after="0"/>
                    <w:rPr>
                      <w:rFonts w:ascii="Times" w:eastAsia="Times New Roman" w:hAnsi="Times" w:cs="Times New Roman"/>
                      <w:sz w:val="24"/>
                      <w:szCs w:val="24"/>
                    </w:rPr>
                  </w:pPr>
                  <w:r w:rsidRPr="00F47F88">
                    <w:rPr>
                      <w:rFonts w:ascii="Times" w:eastAsia="Times New Roman" w:hAnsi="Times" w:cs="Times New Roman"/>
                      <w:sz w:val="24"/>
                      <w:szCs w:val="24"/>
                    </w:rPr>
                    <w:t>New products and services</w:t>
                  </w:r>
                  <w:r w:rsidRPr="00F47F88">
                    <w:rPr>
                      <w:rFonts w:ascii="Times" w:eastAsia="Times New Roman" w:hAnsi="Times" w:cs="Times New Roman"/>
                      <w:sz w:val="24"/>
                      <w:szCs w:val="24"/>
                    </w:rPr>
                    <w:br/>
                    <w:t>Venture capital</w:t>
                  </w:r>
                  <w:r w:rsidRPr="00F47F88">
                    <w:rPr>
                      <w:rFonts w:ascii="Times" w:eastAsia="Times New Roman" w:hAnsi="Times" w:cs="Times New Roman"/>
                      <w:sz w:val="24"/>
                      <w:szCs w:val="24"/>
                    </w:rPr>
                    <w:br/>
                    <w:t>Global markets</w:t>
                  </w:r>
                </w:p>
              </w:tc>
            </w:tr>
          </w:tbl>
          <w:p w:rsidR="00EC499D" w:rsidRPr="00F47F88" w:rsidRDefault="00EC499D" w:rsidP="00B2030D">
            <w:pPr>
              <w:rPr>
                <w:rFonts w:ascii="Times" w:hAnsi="Times"/>
                <w:sz w:val="24"/>
                <w:szCs w:val="24"/>
              </w:rPr>
            </w:pPr>
          </w:p>
        </w:tc>
        <w:tc>
          <w:tcPr>
            <w:tcW w:w="2500"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70"/>
            </w:tblGrid>
            <w:tr w:rsidR="00EC499D" w:rsidRPr="00F47F88" w:rsidTr="00B2030D">
              <w:trPr>
                <w:tblCellSpacing w:w="15" w:type="dxa"/>
              </w:trPr>
              <w:tc>
                <w:tcPr>
                  <w:tcW w:w="0" w:type="auto"/>
                  <w:vAlign w:val="center"/>
                  <w:hideMark/>
                </w:tcPr>
                <w:p w:rsidR="00EC499D" w:rsidRPr="00F47F88" w:rsidRDefault="00EC499D" w:rsidP="00B2030D">
                  <w:pPr>
                    <w:spacing w:after="0"/>
                    <w:rPr>
                      <w:rFonts w:ascii="Times" w:eastAsia="Times New Roman" w:hAnsi="Times" w:cs="Times New Roman"/>
                      <w:sz w:val="24"/>
                      <w:szCs w:val="24"/>
                    </w:rPr>
                  </w:pPr>
                  <w:r w:rsidRPr="00F47F88">
                    <w:rPr>
                      <w:rFonts w:ascii="Times" w:eastAsia="Times New Roman" w:hAnsi="Times" w:cs="Times New Roman"/>
                      <w:sz w:val="24"/>
                      <w:szCs w:val="24"/>
                    </w:rPr>
                    <w:t>Technological problems</w:t>
                  </w:r>
                  <w:r w:rsidRPr="00F47F88">
                    <w:rPr>
                      <w:rFonts w:ascii="Times" w:eastAsia="Times New Roman" w:hAnsi="Times" w:cs="Times New Roman"/>
                      <w:sz w:val="24"/>
                      <w:szCs w:val="24"/>
                    </w:rPr>
                    <w:br/>
                    <w:t>External business risks</w:t>
                  </w:r>
                  <w:r w:rsidRPr="00F47F88">
                    <w:rPr>
                      <w:rFonts w:ascii="Times" w:eastAsia="Times New Roman" w:hAnsi="Times" w:cs="Times New Roman"/>
                      <w:sz w:val="24"/>
                      <w:szCs w:val="24"/>
                    </w:rPr>
                    <w:br/>
                    <w:t>Rising cost of raw materials</w:t>
                  </w:r>
                  <w:r w:rsidRPr="00F47F88">
                    <w:rPr>
                      <w:rFonts w:ascii="Times" w:eastAsia="Times New Roman" w:hAnsi="Times" w:cs="Times New Roman"/>
                      <w:sz w:val="24"/>
                      <w:szCs w:val="24"/>
                    </w:rPr>
                    <w:br/>
                    <w:t>Growing competition and lower profitability</w:t>
                  </w:r>
                  <w:r w:rsidRPr="00F47F88">
                    <w:rPr>
                      <w:rFonts w:ascii="Times" w:eastAsia="Times New Roman" w:hAnsi="Times" w:cs="Times New Roman"/>
                      <w:sz w:val="24"/>
                      <w:szCs w:val="24"/>
                    </w:rPr>
                    <w:br/>
                    <w:t>Increase in labor costs</w:t>
                  </w:r>
                </w:p>
              </w:tc>
            </w:tr>
          </w:tbl>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r>
    </w:tbl>
    <w:p w:rsidR="00EC499D" w:rsidRDefault="00EC499D" w:rsidP="00EC499D">
      <w:pPr>
        <w:spacing w:after="0"/>
        <w:rPr>
          <w:rFonts w:ascii="Times" w:hAnsi="Times"/>
          <w:sz w:val="24"/>
          <w:szCs w:val="24"/>
        </w:rPr>
      </w:pPr>
    </w:p>
    <w:p w:rsidR="00EC499D" w:rsidRPr="00F47F88" w:rsidRDefault="00EC499D" w:rsidP="00EC499D">
      <w:pPr>
        <w:spacing w:after="0"/>
        <w:rPr>
          <w:rFonts w:ascii="Times" w:hAnsi="Times"/>
          <w:sz w:val="24"/>
          <w:szCs w:val="24"/>
        </w:rPr>
      </w:pPr>
    </w:p>
    <w:p w:rsidR="00EC499D" w:rsidRDefault="00EC499D" w:rsidP="00EC499D">
      <w:pPr>
        <w:spacing w:after="0"/>
        <w:rPr>
          <w:rFonts w:ascii="Times" w:hAnsi="Times"/>
          <w:i/>
          <w:sz w:val="24"/>
          <w:szCs w:val="24"/>
        </w:rPr>
      </w:pPr>
      <w:r w:rsidRPr="00E324E1">
        <w:rPr>
          <w:rFonts w:ascii="Times" w:hAnsi="Times"/>
          <w:i/>
          <w:sz w:val="24"/>
          <w:szCs w:val="24"/>
        </w:rPr>
        <w:t>Air Products and Chemicals</w:t>
      </w:r>
    </w:p>
    <w:p w:rsidR="00EC499D" w:rsidRPr="00E324E1" w:rsidRDefault="00EC499D" w:rsidP="00EC499D">
      <w:pPr>
        <w:spacing w:after="0"/>
        <w:rPr>
          <w:rFonts w:ascii="Times" w:hAnsi="Times"/>
          <w:i/>
          <w:sz w:val="24"/>
          <w:szCs w:val="24"/>
        </w:rPr>
      </w:pPr>
    </w:p>
    <w:tbl>
      <w:tblPr>
        <w:tblStyle w:val="GridTable6Colorful-Accent51"/>
        <w:tblW w:w="5000" w:type="pct"/>
        <w:tblLook w:val="04A0" w:firstRow="1" w:lastRow="0" w:firstColumn="1" w:lastColumn="0" w:noHBand="0" w:noVBand="1"/>
      </w:tblPr>
      <w:tblGrid>
        <w:gridCol w:w="5395"/>
        <w:gridCol w:w="5395"/>
      </w:tblGrid>
      <w:tr w:rsidR="00EC499D" w:rsidRPr="00F47F88" w:rsidTr="00B20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79"/>
            </w:tblGrid>
            <w:tr w:rsidR="00EC499D" w:rsidRPr="00F47F88" w:rsidTr="00B2030D">
              <w:trPr>
                <w:tblCellSpacing w:w="15" w:type="dxa"/>
              </w:trPr>
              <w:tc>
                <w:tcPr>
                  <w:tcW w:w="4933" w:type="pct"/>
                  <w:vAlign w:val="center"/>
                  <w:hideMark/>
                </w:tcPr>
                <w:p w:rsidR="00EC499D" w:rsidRPr="00F47F88" w:rsidRDefault="00EC499D" w:rsidP="00B2030D">
                  <w:pPr>
                    <w:spacing w:after="0"/>
                    <w:rPr>
                      <w:rFonts w:ascii="Times" w:eastAsia="Times New Roman" w:hAnsi="Times" w:cs="Times New Roman"/>
                      <w:sz w:val="24"/>
                      <w:szCs w:val="24"/>
                    </w:rPr>
                  </w:pPr>
                  <w:r w:rsidRPr="00F47F88">
                    <w:rPr>
                      <w:rFonts w:ascii="Times" w:eastAsia="Times New Roman" w:hAnsi="Times" w:cs="Times New Roman"/>
                      <w:b/>
                      <w:bCs/>
                      <w:sz w:val="24"/>
                      <w:szCs w:val="24"/>
                    </w:rPr>
                    <w:t>Strengths</w:t>
                  </w:r>
                </w:p>
              </w:tc>
            </w:tr>
          </w:tbl>
          <w:p w:rsidR="00EC499D" w:rsidRPr="00F47F88" w:rsidRDefault="00EC499D" w:rsidP="00B2030D">
            <w:pPr>
              <w:rPr>
                <w:rFonts w:ascii="Times" w:hAnsi="Times"/>
                <w:sz w:val="24"/>
                <w:szCs w:val="24"/>
              </w:rPr>
            </w:pPr>
          </w:p>
        </w:tc>
        <w:tc>
          <w:tcPr>
            <w:tcW w:w="2500"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7"/>
            </w:tblGrid>
            <w:tr w:rsidR="00EC499D" w:rsidRPr="00F47F88" w:rsidTr="00B2030D">
              <w:trPr>
                <w:tblCellSpacing w:w="15" w:type="dxa"/>
              </w:trPr>
              <w:tc>
                <w:tcPr>
                  <w:tcW w:w="0" w:type="auto"/>
                  <w:vAlign w:val="center"/>
                  <w:hideMark/>
                </w:tcPr>
                <w:p w:rsidR="00EC499D" w:rsidRPr="00F47F88" w:rsidRDefault="00EC499D" w:rsidP="00B2030D">
                  <w:pPr>
                    <w:spacing w:after="0"/>
                    <w:rPr>
                      <w:rFonts w:ascii="Times" w:eastAsia="Times New Roman" w:hAnsi="Times" w:cs="Times New Roman"/>
                      <w:sz w:val="24"/>
                      <w:szCs w:val="24"/>
                    </w:rPr>
                  </w:pPr>
                  <w:r w:rsidRPr="00F47F88">
                    <w:rPr>
                      <w:rFonts w:ascii="Times" w:eastAsia="Times New Roman" w:hAnsi="Times" w:cs="Times New Roman"/>
                      <w:b/>
                      <w:bCs/>
                      <w:sz w:val="24"/>
                      <w:szCs w:val="24"/>
                    </w:rPr>
                    <w:t>Weaknesses</w:t>
                  </w:r>
                </w:p>
              </w:tc>
            </w:tr>
          </w:tbl>
          <w:p w:rsidR="00EC499D" w:rsidRPr="00F47F88" w:rsidRDefault="00EC499D" w:rsidP="00B2030D">
            <w:pPr>
              <w:cnfStyle w:val="100000000000" w:firstRow="1" w:lastRow="0" w:firstColumn="0" w:lastColumn="0" w:oddVBand="0" w:evenVBand="0" w:oddHBand="0" w:evenHBand="0" w:firstRowFirstColumn="0" w:firstRowLastColumn="0" w:lastRowFirstColumn="0" w:lastRowLastColumn="0"/>
              <w:rPr>
                <w:rFonts w:ascii="Times" w:hAnsi="Times"/>
                <w:sz w:val="24"/>
                <w:szCs w:val="24"/>
              </w:rPr>
            </w:pPr>
          </w:p>
        </w:tc>
      </w:tr>
      <w:tr w:rsidR="00EC499D" w:rsidRPr="00F47F88" w:rsidTr="00B2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EC499D" w:rsidRPr="00F47F88" w:rsidRDefault="00EC499D" w:rsidP="00B2030D">
            <w:pPr>
              <w:rPr>
                <w:rFonts w:ascii="Times" w:hAnsi="Times"/>
                <w:sz w:val="24"/>
                <w:szCs w:val="24"/>
              </w:rPr>
            </w:pPr>
            <w:r w:rsidRPr="00F47F88">
              <w:rPr>
                <w:rFonts w:ascii="Times" w:eastAsia="Times New Roman" w:hAnsi="Times" w:cs="Times New Roman"/>
                <w:sz w:val="24"/>
                <w:szCs w:val="24"/>
              </w:rPr>
              <w:t>Existing distribution and sales networks</w:t>
            </w:r>
            <w:r w:rsidRPr="00F47F88">
              <w:rPr>
                <w:rFonts w:ascii="Times" w:eastAsia="Times New Roman" w:hAnsi="Times" w:cs="Times New Roman"/>
                <w:sz w:val="24"/>
                <w:szCs w:val="24"/>
              </w:rPr>
              <w:br/>
              <w:t>High profitability and revenue</w:t>
            </w:r>
            <w:r w:rsidRPr="00F47F88">
              <w:rPr>
                <w:rFonts w:ascii="Times" w:eastAsia="Times New Roman" w:hAnsi="Times" w:cs="Times New Roman"/>
                <w:sz w:val="24"/>
                <w:szCs w:val="24"/>
              </w:rPr>
              <w:br/>
              <w:t>High growth rate</w:t>
            </w:r>
            <w:r w:rsidRPr="00F47F88">
              <w:rPr>
                <w:rFonts w:ascii="Times" w:eastAsia="Times New Roman" w:hAnsi="Times" w:cs="Times New Roman"/>
                <w:sz w:val="24"/>
                <w:szCs w:val="24"/>
              </w:rPr>
              <w:br/>
              <w:t>Experienced business units</w:t>
            </w:r>
            <w:r w:rsidRPr="00F47F88">
              <w:rPr>
                <w:rFonts w:ascii="Times" w:eastAsia="Times New Roman" w:hAnsi="Times" w:cs="Times New Roman"/>
                <w:sz w:val="24"/>
                <w:szCs w:val="24"/>
              </w:rPr>
              <w:br/>
              <w:t>Barriers of market entry</w:t>
            </w:r>
          </w:p>
        </w:tc>
        <w:tc>
          <w:tcPr>
            <w:tcW w:w="2500"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3"/>
            </w:tblGrid>
            <w:tr w:rsidR="00EC499D" w:rsidRPr="00F47F88" w:rsidTr="00B2030D">
              <w:trPr>
                <w:tblCellSpacing w:w="15" w:type="dxa"/>
              </w:trPr>
              <w:tc>
                <w:tcPr>
                  <w:tcW w:w="0" w:type="auto"/>
                  <w:vAlign w:val="center"/>
                  <w:hideMark/>
                </w:tcPr>
                <w:p w:rsidR="00EC499D" w:rsidRPr="00F47F88" w:rsidRDefault="00EC499D" w:rsidP="00B2030D">
                  <w:pPr>
                    <w:spacing w:after="0"/>
                    <w:rPr>
                      <w:rFonts w:ascii="Times" w:eastAsia="Times New Roman" w:hAnsi="Times" w:cs="Times New Roman"/>
                      <w:sz w:val="24"/>
                      <w:szCs w:val="24"/>
                    </w:rPr>
                  </w:pPr>
                  <w:r w:rsidRPr="00F47F88">
                    <w:rPr>
                      <w:rFonts w:ascii="Times" w:eastAsia="Times New Roman" w:hAnsi="Times" w:cs="Times New Roman"/>
                      <w:sz w:val="24"/>
                      <w:szCs w:val="24"/>
                    </w:rPr>
                    <w:t>Future cost structure</w:t>
                  </w:r>
                </w:p>
              </w:tc>
            </w:tr>
          </w:tbl>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r>
      <w:tr w:rsidR="00EC499D" w:rsidRPr="00F47F88" w:rsidTr="00B2030D">
        <w:tc>
          <w:tcPr>
            <w:cnfStyle w:val="001000000000" w:firstRow="0" w:lastRow="0" w:firstColumn="1" w:lastColumn="0" w:oddVBand="0" w:evenVBand="0" w:oddHBand="0" w:evenHBand="0" w:firstRowFirstColumn="0" w:firstRowLastColumn="0" w:lastRowFirstColumn="0" w:lastRowLastColumn="0"/>
            <w:tcW w:w="2500"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1"/>
            </w:tblGrid>
            <w:tr w:rsidR="00EC499D" w:rsidRPr="00F47F88" w:rsidTr="00B2030D">
              <w:trPr>
                <w:tblCellSpacing w:w="15" w:type="dxa"/>
              </w:trPr>
              <w:tc>
                <w:tcPr>
                  <w:tcW w:w="0" w:type="auto"/>
                  <w:vAlign w:val="center"/>
                  <w:hideMark/>
                </w:tcPr>
                <w:p w:rsidR="00EC499D" w:rsidRPr="00F47F88" w:rsidRDefault="00EC499D" w:rsidP="00B2030D">
                  <w:pPr>
                    <w:spacing w:after="0"/>
                    <w:rPr>
                      <w:rFonts w:ascii="Times" w:eastAsia="Times New Roman" w:hAnsi="Times" w:cs="Times New Roman"/>
                      <w:sz w:val="24"/>
                      <w:szCs w:val="24"/>
                    </w:rPr>
                  </w:pPr>
                  <w:r w:rsidRPr="00F47F88">
                    <w:rPr>
                      <w:rFonts w:ascii="Times" w:eastAsia="Times New Roman" w:hAnsi="Times" w:cs="Times New Roman"/>
                      <w:b/>
                      <w:bCs/>
                      <w:sz w:val="24"/>
                      <w:szCs w:val="24"/>
                    </w:rPr>
                    <w:t>Opportunities</w:t>
                  </w:r>
                </w:p>
              </w:tc>
            </w:tr>
          </w:tbl>
          <w:p w:rsidR="00EC499D" w:rsidRPr="00F47F88" w:rsidRDefault="00EC499D" w:rsidP="00B2030D">
            <w:pPr>
              <w:rPr>
                <w:rFonts w:ascii="Times" w:hAnsi="Times"/>
                <w:sz w:val="24"/>
                <w:szCs w:val="24"/>
              </w:rPr>
            </w:pPr>
          </w:p>
        </w:tc>
        <w:tc>
          <w:tcPr>
            <w:tcW w:w="2500"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0"/>
            </w:tblGrid>
            <w:tr w:rsidR="00EC499D" w:rsidRPr="00F47F88" w:rsidTr="00B2030D">
              <w:trPr>
                <w:tblCellSpacing w:w="15" w:type="dxa"/>
              </w:trPr>
              <w:tc>
                <w:tcPr>
                  <w:tcW w:w="0" w:type="auto"/>
                  <w:vAlign w:val="center"/>
                  <w:hideMark/>
                </w:tcPr>
                <w:p w:rsidR="00EC499D" w:rsidRPr="00F47F88" w:rsidRDefault="00EC499D" w:rsidP="00B2030D">
                  <w:pPr>
                    <w:spacing w:after="0"/>
                    <w:rPr>
                      <w:rFonts w:ascii="Times" w:eastAsia="Times New Roman" w:hAnsi="Times" w:cs="Times New Roman"/>
                      <w:sz w:val="24"/>
                      <w:szCs w:val="24"/>
                    </w:rPr>
                  </w:pPr>
                  <w:r w:rsidRPr="00F47F88">
                    <w:rPr>
                      <w:rFonts w:ascii="Times" w:eastAsia="Times New Roman" w:hAnsi="Times" w:cs="Times New Roman"/>
                      <w:b/>
                      <w:bCs/>
                      <w:sz w:val="24"/>
                      <w:szCs w:val="24"/>
                    </w:rPr>
                    <w:t>Threats</w:t>
                  </w:r>
                </w:p>
              </w:tc>
            </w:tr>
          </w:tbl>
          <w:p w:rsidR="00EC499D" w:rsidRPr="00F47F88" w:rsidRDefault="00EC499D" w:rsidP="00B2030D">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r>
      <w:tr w:rsidR="00EC499D" w:rsidRPr="00F47F88" w:rsidTr="00B2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EC499D" w:rsidRPr="00F47F88" w:rsidRDefault="00EC499D" w:rsidP="00B2030D">
            <w:pPr>
              <w:rPr>
                <w:rFonts w:ascii="Times" w:hAnsi="Times"/>
                <w:sz w:val="24"/>
                <w:szCs w:val="24"/>
              </w:rPr>
            </w:pPr>
            <w:r w:rsidRPr="00F47F88">
              <w:rPr>
                <w:rFonts w:ascii="Times" w:eastAsia="Times New Roman" w:hAnsi="Times" w:cs="Times New Roman"/>
                <w:sz w:val="24"/>
                <w:szCs w:val="24"/>
              </w:rPr>
              <w:t>Growth rates and profitability</w:t>
            </w:r>
            <w:r w:rsidRPr="00F47F88">
              <w:rPr>
                <w:rFonts w:ascii="Times" w:eastAsia="Times New Roman" w:hAnsi="Times" w:cs="Times New Roman"/>
                <w:sz w:val="24"/>
                <w:szCs w:val="24"/>
              </w:rPr>
              <w:br/>
              <w:t>Income level is at a constant increase</w:t>
            </w:r>
            <w:r w:rsidRPr="00F47F88">
              <w:rPr>
                <w:rFonts w:ascii="Times" w:eastAsia="Times New Roman" w:hAnsi="Times" w:cs="Times New Roman"/>
                <w:sz w:val="24"/>
                <w:szCs w:val="24"/>
              </w:rPr>
              <w:br/>
              <w:t>New products and services</w:t>
            </w:r>
            <w:r w:rsidRPr="00F47F88">
              <w:rPr>
                <w:rFonts w:ascii="Times" w:eastAsia="Times New Roman" w:hAnsi="Times" w:cs="Times New Roman"/>
                <w:sz w:val="24"/>
                <w:szCs w:val="24"/>
              </w:rPr>
              <w:br/>
              <w:t>New markets</w:t>
            </w:r>
            <w:r w:rsidRPr="00F47F88">
              <w:rPr>
                <w:rFonts w:ascii="Times" w:eastAsia="Times New Roman" w:hAnsi="Times" w:cs="Times New Roman"/>
                <w:sz w:val="24"/>
                <w:szCs w:val="24"/>
              </w:rPr>
              <w:br/>
              <w:t>Global markets</w:t>
            </w:r>
            <w:r w:rsidRPr="00F47F88">
              <w:rPr>
                <w:rFonts w:ascii="Times" w:eastAsia="Times New Roman" w:hAnsi="Times" w:cs="Times New Roman"/>
                <w:sz w:val="24"/>
                <w:szCs w:val="24"/>
              </w:rPr>
              <w:br/>
              <w:t>Growing demand</w:t>
            </w:r>
          </w:p>
        </w:tc>
        <w:tc>
          <w:tcPr>
            <w:tcW w:w="2500" w:type="pct"/>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F47F88">
              <w:rPr>
                <w:rFonts w:ascii="Times" w:eastAsia="Times New Roman" w:hAnsi="Times" w:cs="Times New Roman"/>
                <w:sz w:val="24"/>
                <w:szCs w:val="24"/>
              </w:rPr>
              <w:t>Government regulations</w:t>
            </w:r>
            <w:r w:rsidRPr="00F47F88">
              <w:rPr>
                <w:rFonts w:ascii="Times" w:eastAsia="Times New Roman" w:hAnsi="Times" w:cs="Times New Roman"/>
                <w:sz w:val="24"/>
                <w:szCs w:val="24"/>
              </w:rPr>
              <w:br/>
              <w:t>Growing competition and lower profitability</w:t>
            </w:r>
            <w:r w:rsidRPr="00F47F88">
              <w:rPr>
                <w:rFonts w:ascii="Times" w:eastAsia="Times New Roman" w:hAnsi="Times" w:cs="Times New Roman"/>
                <w:sz w:val="24"/>
                <w:szCs w:val="24"/>
              </w:rPr>
              <w:br/>
              <w:t>Tax changes</w:t>
            </w:r>
            <w:r w:rsidRPr="00F47F88">
              <w:rPr>
                <w:rFonts w:ascii="Times" w:eastAsia="Times New Roman" w:hAnsi="Times" w:cs="Times New Roman"/>
                <w:sz w:val="24"/>
                <w:szCs w:val="24"/>
              </w:rPr>
              <w:br/>
              <w:t>Increasing costs</w:t>
            </w:r>
            <w:r w:rsidRPr="00F47F88">
              <w:rPr>
                <w:rFonts w:ascii="Times" w:eastAsia="Times New Roman" w:hAnsi="Times" w:cs="Times New Roman"/>
                <w:sz w:val="24"/>
                <w:szCs w:val="24"/>
              </w:rPr>
              <w:br/>
              <w:t>Increasing rates of interest</w:t>
            </w:r>
            <w:r w:rsidRPr="00F47F88">
              <w:rPr>
                <w:rFonts w:ascii="Times" w:eastAsia="Times New Roman" w:hAnsi="Times" w:cs="Times New Roman"/>
                <w:sz w:val="24"/>
                <w:szCs w:val="24"/>
              </w:rPr>
              <w:br/>
              <w:t>Increase in labor costs</w:t>
            </w:r>
            <w:r w:rsidRPr="00F47F88">
              <w:rPr>
                <w:rFonts w:ascii="Times" w:eastAsia="Times New Roman" w:hAnsi="Times" w:cs="Times New Roman"/>
                <w:sz w:val="24"/>
                <w:szCs w:val="24"/>
              </w:rPr>
              <w:br/>
              <w:t>Financial capacity</w:t>
            </w:r>
            <w:r w:rsidRPr="00F47F88">
              <w:rPr>
                <w:rFonts w:ascii="Times" w:eastAsia="Times New Roman" w:hAnsi="Times" w:cs="Times New Roman"/>
                <w:sz w:val="24"/>
                <w:szCs w:val="24"/>
              </w:rPr>
              <w:br/>
              <w:t>Price changes</w:t>
            </w:r>
          </w:p>
        </w:tc>
      </w:tr>
    </w:tbl>
    <w:p w:rsidR="00EC499D" w:rsidRPr="00F47F88" w:rsidRDefault="00EC499D" w:rsidP="00EC499D">
      <w:pPr>
        <w:spacing w:after="0"/>
        <w:rPr>
          <w:rFonts w:ascii="Times" w:hAnsi="Times"/>
          <w:sz w:val="24"/>
          <w:szCs w:val="24"/>
        </w:rPr>
      </w:pPr>
    </w:p>
    <w:p w:rsidR="00EC499D" w:rsidRDefault="00EC499D" w:rsidP="00EC499D">
      <w:pPr>
        <w:spacing w:after="0"/>
        <w:rPr>
          <w:rFonts w:ascii="Times" w:hAnsi="Times"/>
          <w:i/>
          <w:sz w:val="24"/>
          <w:szCs w:val="24"/>
        </w:rPr>
      </w:pPr>
    </w:p>
    <w:p w:rsidR="00EC499D" w:rsidRDefault="00EC499D" w:rsidP="00EC499D">
      <w:pPr>
        <w:spacing w:after="0"/>
        <w:rPr>
          <w:rFonts w:ascii="Times" w:hAnsi="Times"/>
          <w:i/>
          <w:sz w:val="24"/>
          <w:szCs w:val="24"/>
        </w:rPr>
      </w:pPr>
      <w:r w:rsidRPr="00E324E1">
        <w:rPr>
          <w:rFonts w:ascii="Times" w:hAnsi="Times"/>
          <w:i/>
          <w:sz w:val="24"/>
          <w:szCs w:val="24"/>
        </w:rPr>
        <w:t>Huntsman Corporation</w:t>
      </w:r>
    </w:p>
    <w:p w:rsidR="00EC499D" w:rsidRPr="00E324E1" w:rsidRDefault="00EC499D" w:rsidP="00EC499D">
      <w:pPr>
        <w:spacing w:after="0"/>
        <w:rPr>
          <w:rFonts w:ascii="Times" w:hAnsi="Times"/>
          <w:i/>
          <w:sz w:val="24"/>
          <w:szCs w:val="24"/>
        </w:rPr>
      </w:pPr>
    </w:p>
    <w:tbl>
      <w:tblPr>
        <w:tblStyle w:val="GridTable6Colorful-Accent51"/>
        <w:tblW w:w="0" w:type="auto"/>
        <w:tblLayout w:type="fixed"/>
        <w:tblLook w:val="04A0" w:firstRow="1" w:lastRow="0" w:firstColumn="1" w:lastColumn="0" w:noHBand="0" w:noVBand="1"/>
      </w:tblPr>
      <w:tblGrid>
        <w:gridCol w:w="4675"/>
        <w:gridCol w:w="4675"/>
      </w:tblGrid>
      <w:tr w:rsidR="00EC499D" w:rsidRPr="00F47F88" w:rsidTr="00B20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C499D" w:rsidRPr="00F47F88" w:rsidRDefault="00EC499D" w:rsidP="00B2030D">
            <w:pPr>
              <w:rPr>
                <w:rFonts w:ascii="Times" w:hAnsi="Times"/>
                <w:sz w:val="24"/>
                <w:szCs w:val="24"/>
              </w:rPr>
            </w:pPr>
            <w:r w:rsidRPr="00F47F88">
              <w:rPr>
                <w:rFonts w:ascii="Times" w:eastAsia="Times New Roman" w:hAnsi="Times" w:cs="Times New Roman"/>
                <w:sz w:val="24"/>
                <w:szCs w:val="24"/>
              </w:rPr>
              <w:t>Strengths</w:t>
            </w:r>
          </w:p>
        </w:tc>
        <w:tc>
          <w:tcPr>
            <w:tcW w:w="4675" w:type="dxa"/>
          </w:tcPr>
          <w:p w:rsidR="00EC499D" w:rsidRPr="00F47F88" w:rsidRDefault="00EC499D" w:rsidP="00B2030D">
            <w:pPr>
              <w:cnfStyle w:val="100000000000" w:firstRow="1"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eastAsia="Times New Roman" w:hAnsi="Times" w:cs="Times New Roman"/>
                <w:sz w:val="24"/>
                <w:szCs w:val="24"/>
              </w:rPr>
              <w:t>Weaknesses</w:t>
            </w:r>
          </w:p>
        </w:tc>
      </w:tr>
      <w:tr w:rsidR="00EC499D" w:rsidRPr="00F47F88" w:rsidTr="00B2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970"/>
            </w:tblGrid>
            <w:tr w:rsidR="00EC499D" w:rsidRPr="00F47F88" w:rsidTr="00B2030D">
              <w:trPr>
                <w:tblCellSpacing w:w="15" w:type="dxa"/>
              </w:trPr>
              <w:tc>
                <w:tcPr>
                  <w:tcW w:w="2910" w:type="dxa"/>
                  <w:vAlign w:val="center"/>
                  <w:hideMark/>
                </w:tcPr>
                <w:p w:rsidR="00EC499D" w:rsidRPr="00F47F88" w:rsidRDefault="00EC499D" w:rsidP="00B2030D">
                  <w:pPr>
                    <w:spacing w:after="0"/>
                    <w:rPr>
                      <w:rFonts w:ascii="Times" w:eastAsia="Times New Roman" w:hAnsi="Times" w:cs="Times New Roman"/>
                      <w:sz w:val="24"/>
                      <w:szCs w:val="24"/>
                    </w:rPr>
                  </w:pPr>
                  <w:r w:rsidRPr="00F47F88">
                    <w:rPr>
                      <w:rFonts w:ascii="Times" w:eastAsia="Times New Roman" w:hAnsi="Times" w:cs="Times New Roman"/>
                      <w:sz w:val="24"/>
                      <w:szCs w:val="24"/>
                    </w:rPr>
                    <w:t>Monetary assistance provided</w:t>
                  </w:r>
                  <w:r w:rsidRPr="00F47F88">
                    <w:rPr>
                      <w:rFonts w:ascii="Times" w:eastAsia="Times New Roman" w:hAnsi="Times" w:cs="Times New Roman"/>
                      <w:sz w:val="24"/>
                      <w:szCs w:val="24"/>
                    </w:rPr>
                    <w:br/>
                    <w:t>Skilled workforce</w:t>
                  </w:r>
                  <w:r w:rsidRPr="00F47F88">
                    <w:rPr>
                      <w:rFonts w:ascii="Times" w:eastAsia="Times New Roman" w:hAnsi="Times" w:cs="Times New Roman"/>
                      <w:sz w:val="24"/>
                      <w:szCs w:val="24"/>
                    </w:rPr>
                    <w:br/>
                    <w:t>Experienced business units</w:t>
                  </w:r>
                  <w:r w:rsidRPr="00F47F88">
                    <w:rPr>
                      <w:rFonts w:ascii="Times" w:eastAsia="Times New Roman" w:hAnsi="Times" w:cs="Times New Roman"/>
                      <w:sz w:val="24"/>
                      <w:szCs w:val="24"/>
                    </w:rPr>
                    <w:br/>
                    <w:t>Barriers of market entry</w:t>
                  </w:r>
                  <w:r w:rsidRPr="00F47F88">
                    <w:rPr>
                      <w:rFonts w:ascii="Times" w:eastAsia="Times New Roman" w:hAnsi="Times" w:cs="Times New Roman"/>
                      <w:sz w:val="24"/>
                      <w:szCs w:val="24"/>
                    </w:rPr>
                    <w:br/>
                  </w:r>
                  <w:r w:rsidRPr="00F47F88">
                    <w:rPr>
                      <w:rFonts w:ascii="Times" w:eastAsia="Times New Roman" w:hAnsi="Times" w:cs="Times New Roman"/>
                      <w:sz w:val="24"/>
                      <w:szCs w:val="24"/>
                    </w:rPr>
                    <w:lastRenderedPageBreak/>
                    <w:t>Existing distribution and sales networks</w:t>
                  </w:r>
                  <w:r w:rsidRPr="00F47F88">
                    <w:rPr>
                      <w:rFonts w:ascii="Times" w:eastAsia="Times New Roman" w:hAnsi="Times" w:cs="Times New Roman"/>
                      <w:sz w:val="24"/>
                      <w:szCs w:val="24"/>
                    </w:rPr>
                    <w:br/>
                    <w:t>High growth rate</w:t>
                  </w:r>
                </w:p>
              </w:tc>
            </w:tr>
          </w:tbl>
          <w:p w:rsidR="00EC499D" w:rsidRPr="00F47F88" w:rsidRDefault="00EC499D" w:rsidP="00B2030D">
            <w:pPr>
              <w:rPr>
                <w:rFonts w:ascii="Times" w:hAnsi="Times"/>
                <w:sz w:val="24"/>
                <w:szCs w:val="24"/>
              </w:rPr>
            </w:pPr>
          </w:p>
        </w:tc>
        <w:tc>
          <w:tcPr>
            <w:tcW w:w="467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485"/>
            </w:tblGrid>
            <w:tr w:rsidR="00EC499D" w:rsidRPr="00F47F88" w:rsidTr="00B2030D">
              <w:trPr>
                <w:tblCellSpacing w:w="15" w:type="dxa"/>
              </w:trPr>
              <w:tc>
                <w:tcPr>
                  <w:tcW w:w="1425" w:type="dxa"/>
                  <w:vAlign w:val="center"/>
                  <w:hideMark/>
                </w:tcPr>
                <w:p w:rsidR="00EC499D" w:rsidRPr="00F47F88" w:rsidRDefault="00EC499D" w:rsidP="00B2030D">
                  <w:pPr>
                    <w:spacing w:after="0"/>
                    <w:rPr>
                      <w:rFonts w:ascii="Times" w:eastAsia="Times New Roman" w:hAnsi="Times" w:cs="Times New Roman"/>
                      <w:sz w:val="24"/>
                      <w:szCs w:val="24"/>
                    </w:rPr>
                  </w:pPr>
                  <w:r w:rsidRPr="00F47F88">
                    <w:rPr>
                      <w:rFonts w:ascii="Times" w:eastAsia="Times New Roman" w:hAnsi="Times" w:cs="Times New Roman"/>
                      <w:sz w:val="24"/>
                      <w:szCs w:val="24"/>
                    </w:rPr>
                    <w:lastRenderedPageBreak/>
                    <w:t>Future productivity</w:t>
                  </w:r>
                </w:p>
              </w:tc>
            </w:tr>
          </w:tbl>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r>
      <w:tr w:rsidR="00EC499D" w:rsidRPr="00F47F88" w:rsidTr="00B2030D">
        <w:tc>
          <w:tcPr>
            <w:cnfStyle w:val="001000000000" w:firstRow="0" w:lastRow="0" w:firstColumn="1" w:lastColumn="0" w:oddVBand="0" w:evenVBand="0" w:oddHBand="0" w:evenHBand="0" w:firstRowFirstColumn="0" w:firstRowLastColumn="0" w:lastRowFirstColumn="0" w:lastRowLastColumn="0"/>
            <w:tcW w:w="4675" w:type="dxa"/>
          </w:tcPr>
          <w:p w:rsidR="00EC499D" w:rsidRPr="00F47F88" w:rsidRDefault="00EC499D" w:rsidP="00B2030D">
            <w:pPr>
              <w:rPr>
                <w:rFonts w:ascii="Times" w:hAnsi="Times"/>
                <w:sz w:val="24"/>
                <w:szCs w:val="24"/>
              </w:rPr>
            </w:pPr>
            <w:r w:rsidRPr="00F47F88">
              <w:rPr>
                <w:rFonts w:ascii="Times" w:eastAsia="Times New Roman" w:hAnsi="Times" w:cs="Times New Roman"/>
                <w:sz w:val="24"/>
                <w:szCs w:val="24"/>
              </w:rPr>
              <w:t>Opportunities</w:t>
            </w:r>
          </w:p>
        </w:tc>
        <w:tc>
          <w:tcPr>
            <w:tcW w:w="4675" w:type="dxa"/>
          </w:tcPr>
          <w:p w:rsidR="00EC499D" w:rsidRPr="00F47F88" w:rsidRDefault="00EC499D" w:rsidP="00B2030D">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F47F88">
              <w:rPr>
                <w:rFonts w:ascii="Times" w:eastAsia="Times New Roman" w:hAnsi="Times" w:cs="Times New Roman"/>
                <w:b/>
                <w:bCs/>
                <w:sz w:val="24"/>
                <w:szCs w:val="24"/>
              </w:rPr>
              <w:t>Threats</w:t>
            </w:r>
          </w:p>
        </w:tc>
      </w:tr>
      <w:tr w:rsidR="00EC499D" w:rsidRPr="00F47F88" w:rsidTr="00B2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C499D" w:rsidRPr="00F47F88" w:rsidRDefault="00EC499D" w:rsidP="00B2030D">
            <w:pPr>
              <w:rPr>
                <w:rFonts w:ascii="Times" w:hAnsi="Times"/>
                <w:sz w:val="24"/>
                <w:szCs w:val="24"/>
              </w:rPr>
            </w:pPr>
            <w:r w:rsidRPr="00F47F88">
              <w:rPr>
                <w:rFonts w:ascii="Times" w:eastAsia="Times New Roman" w:hAnsi="Times" w:cs="Times New Roman"/>
                <w:sz w:val="24"/>
                <w:szCs w:val="24"/>
              </w:rPr>
              <w:t>Global markets</w:t>
            </w:r>
            <w:r w:rsidRPr="00F47F88">
              <w:rPr>
                <w:rFonts w:ascii="Times" w:eastAsia="Times New Roman" w:hAnsi="Times" w:cs="Times New Roman"/>
                <w:sz w:val="24"/>
                <w:szCs w:val="24"/>
              </w:rPr>
              <w:br/>
              <w:t>Growing demand</w:t>
            </w:r>
            <w:r w:rsidRPr="00F47F88">
              <w:rPr>
                <w:rFonts w:ascii="Times" w:eastAsia="Times New Roman" w:hAnsi="Times" w:cs="Times New Roman"/>
                <w:sz w:val="24"/>
                <w:szCs w:val="24"/>
              </w:rPr>
              <w:br/>
              <w:t>Growth rates and profitability</w:t>
            </w:r>
            <w:r w:rsidRPr="00F47F88">
              <w:rPr>
                <w:rFonts w:ascii="Times" w:eastAsia="Times New Roman" w:hAnsi="Times" w:cs="Times New Roman"/>
                <w:sz w:val="24"/>
                <w:szCs w:val="24"/>
              </w:rPr>
              <w:br/>
              <w:t>New acquisitions</w:t>
            </w:r>
          </w:p>
        </w:tc>
        <w:tc>
          <w:tcPr>
            <w:tcW w:w="4675" w:type="dxa"/>
          </w:tcPr>
          <w:p w:rsidR="00EC499D" w:rsidRPr="00F47F88" w:rsidRDefault="00EC499D" w:rsidP="00B2030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F47F88">
              <w:rPr>
                <w:rFonts w:ascii="Times" w:eastAsia="Times New Roman" w:hAnsi="Times" w:cs="Times New Roman"/>
                <w:sz w:val="24"/>
                <w:szCs w:val="24"/>
              </w:rPr>
              <w:t>Financial capacity</w:t>
            </w:r>
            <w:r w:rsidRPr="00F47F88">
              <w:rPr>
                <w:rFonts w:ascii="Times" w:eastAsia="Times New Roman" w:hAnsi="Times" w:cs="Times New Roman"/>
                <w:sz w:val="24"/>
                <w:szCs w:val="24"/>
              </w:rPr>
              <w:br/>
              <w:t>Increase in labor costs</w:t>
            </w:r>
            <w:r w:rsidRPr="00F47F88">
              <w:rPr>
                <w:rFonts w:ascii="Times" w:eastAsia="Times New Roman" w:hAnsi="Times" w:cs="Times New Roman"/>
                <w:sz w:val="24"/>
                <w:szCs w:val="24"/>
              </w:rPr>
              <w:br/>
              <w:t>Growing competition and lower profitability</w:t>
            </w:r>
            <w:r w:rsidRPr="00F47F88">
              <w:rPr>
                <w:rFonts w:ascii="Times" w:eastAsia="Times New Roman" w:hAnsi="Times" w:cs="Times New Roman"/>
                <w:sz w:val="24"/>
                <w:szCs w:val="24"/>
              </w:rPr>
              <w:br/>
              <w:t>Technological problems</w:t>
            </w:r>
            <w:r w:rsidRPr="00F47F88">
              <w:rPr>
                <w:rFonts w:ascii="Times" w:eastAsia="Times New Roman" w:hAnsi="Times" w:cs="Times New Roman"/>
                <w:sz w:val="24"/>
                <w:szCs w:val="24"/>
              </w:rPr>
              <w:br/>
              <w:t>Price changes</w:t>
            </w:r>
            <w:r w:rsidRPr="00F47F88">
              <w:rPr>
                <w:rFonts w:ascii="Times" w:eastAsia="Times New Roman" w:hAnsi="Times" w:cs="Times New Roman"/>
                <w:sz w:val="24"/>
                <w:szCs w:val="24"/>
              </w:rPr>
              <w:br/>
              <w:t>Increasing costs</w:t>
            </w:r>
          </w:p>
        </w:tc>
      </w:tr>
    </w:tbl>
    <w:p w:rsidR="00EC499D" w:rsidRPr="00E71C10" w:rsidRDefault="00EC499D" w:rsidP="00EC499D">
      <w:pPr>
        <w:spacing w:after="0"/>
        <w:rPr>
          <w:rFonts w:ascii="Times" w:hAnsi="Times"/>
          <w:sz w:val="24"/>
          <w:szCs w:val="24"/>
          <w:u w:val="single"/>
        </w:rPr>
      </w:pPr>
    </w:p>
    <w:p w:rsidR="00EC499D" w:rsidRPr="00E71C10" w:rsidRDefault="00EC499D" w:rsidP="00EC499D">
      <w:pPr>
        <w:spacing w:after="0" w:line="480" w:lineRule="auto"/>
        <w:rPr>
          <w:rFonts w:ascii="Times" w:hAnsi="Times"/>
          <w:sz w:val="24"/>
          <w:szCs w:val="24"/>
          <w:u w:val="single"/>
        </w:rPr>
      </w:pPr>
      <w:r w:rsidRPr="00E71C10">
        <w:rPr>
          <w:rFonts w:ascii="Times" w:hAnsi="Times"/>
          <w:sz w:val="24"/>
          <w:szCs w:val="24"/>
          <w:u w:val="single"/>
        </w:rPr>
        <w:t>Product Market Overview:</w:t>
      </w:r>
    </w:p>
    <w:p w:rsidR="00EC499D" w:rsidRPr="00F47F88" w:rsidRDefault="00EC499D" w:rsidP="00EC499D">
      <w:pPr>
        <w:spacing w:after="0" w:line="480" w:lineRule="auto"/>
        <w:rPr>
          <w:rFonts w:ascii="Times" w:hAnsi="Times"/>
          <w:sz w:val="24"/>
          <w:szCs w:val="24"/>
        </w:rPr>
      </w:pPr>
      <w:r>
        <w:rPr>
          <w:rFonts w:ascii="Times" w:hAnsi="Times"/>
          <w:sz w:val="24"/>
          <w:szCs w:val="24"/>
        </w:rPr>
        <w:tab/>
      </w:r>
      <w:r w:rsidRPr="00F47F88">
        <w:rPr>
          <w:rFonts w:ascii="Times" w:hAnsi="Times"/>
          <w:sz w:val="24"/>
          <w:szCs w:val="24"/>
        </w:rPr>
        <w:t xml:space="preserve">Surfactants Market Overview: “Surfactants Market is expected to garner $44.6 billion by 2020. The consumption of surfactants across the globe in 2014 was 17,500.0 kilo tons, which is expected to increase at a CAGR of 3.4% during the forecast period (2020). Out of which, household detergent industry accounted for more than half of the total market in 2014. The Asia-Pacific surfactant industry offers a potential opportunity for prominent players, owing to increasing population and rising demand for newer technologies and products from the developing regions. Improved lifestyle, increasing cost of living and rising population have fostered the adoption of surfactants in various industries, such as personal care, soaps &amp; detergents, and pharmaceutical industry; thereby, boosting the growth of the surfactant industry.” </w:t>
      </w:r>
    </w:p>
    <w:tbl>
      <w:tblPr>
        <w:tblW w:w="4500" w:type="pct"/>
        <w:jc w:val="center"/>
        <w:tblCellMar>
          <w:left w:w="0" w:type="dxa"/>
          <w:right w:w="0" w:type="dxa"/>
        </w:tblCellMar>
        <w:tblLook w:val="04A0" w:firstRow="1" w:lastRow="0" w:firstColumn="1" w:lastColumn="0" w:noHBand="0" w:noVBand="1"/>
      </w:tblPr>
      <w:tblGrid>
        <w:gridCol w:w="4869"/>
        <w:gridCol w:w="93"/>
        <w:gridCol w:w="136"/>
        <w:gridCol w:w="940"/>
        <w:gridCol w:w="75"/>
        <w:gridCol w:w="92"/>
        <w:gridCol w:w="136"/>
        <w:gridCol w:w="940"/>
        <w:gridCol w:w="75"/>
        <w:gridCol w:w="93"/>
        <w:gridCol w:w="136"/>
        <w:gridCol w:w="951"/>
        <w:gridCol w:w="95"/>
        <w:gridCol w:w="75"/>
        <w:gridCol w:w="76"/>
        <w:gridCol w:w="863"/>
        <w:gridCol w:w="75"/>
      </w:tblGrid>
      <w:tr w:rsidR="00EC499D" w:rsidRPr="00F47F88" w:rsidTr="00B2030D">
        <w:trPr>
          <w:jc w:val="center"/>
        </w:trPr>
        <w:tc>
          <w:tcPr>
            <w:tcW w:w="2517" w:type="pct"/>
            <w:shd w:val="clear" w:color="auto" w:fill="FFFFFF"/>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i/>
                <w:iCs/>
                <w:sz w:val="24"/>
                <w:szCs w:val="24"/>
              </w:rPr>
            </w:pPr>
            <w:r w:rsidRPr="00F47F88">
              <w:rPr>
                <w:rFonts w:ascii="Times" w:eastAsia="Times New Roman" w:hAnsi="Times" w:cs="Times New Roman"/>
                <w:i/>
                <w:iCs/>
                <w:sz w:val="24"/>
                <w:szCs w:val="24"/>
              </w:rPr>
              <w:t xml:space="preserve">(In thousands)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1130" w:type="pct"/>
            <w:gridSpan w:val="6"/>
            <w:tcBorders>
              <w:bottom w:val="single" w:sz="6" w:space="0" w:color="000000"/>
            </w:tcBorders>
            <w:shd w:val="clear" w:color="auto" w:fill="FFFFFF"/>
            <w:tcMar>
              <w:top w:w="15" w:type="dxa"/>
              <w:left w:w="0" w:type="dxa"/>
              <w:bottom w:w="0" w:type="dxa"/>
              <w:right w:w="15" w:type="dxa"/>
            </w:tcMar>
            <w:vAlign w:val="bottom"/>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For the Nine Months Ended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FFFFFF"/>
            <w:noWrap/>
            <w:tcMar>
              <w:top w:w="15" w:type="dxa"/>
              <w:left w:w="0" w:type="dxa"/>
              <w:bottom w:w="0" w:type="dxa"/>
              <w:right w:w="15" w:type="dxa"/>
            </w:tcMar>
            <w:vAlign w:val="bottom"/>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FFFFFF"/>
            <w:noWrap/>
            <w:tcMar>
              <w:top w:w="15" w:type="dxa"/>
              <w:left w:w="0" w:type="dxa"/>
              <w:bottom w:w="0" w:type="dxa"/>
              <w:right w:w="15" w:type="dxa"/>
            </w:tcMar>
            <w:vAlign w:val="bottom"/>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r>
      <w:tr w:rsidR="00EC499D" w:rsidRPr="00F47F88" w:rsidTr="00B2030D">
        <w:trPr>
          <w:jc w:val="center"/>
        </w:trPr>
        <w:tc>
          <w:tcPr>
            <w:tcW w:w="2517" w:type="pct"/>
            <w:shd w:val="clear" w:color="auto" w:fill="FFFFFF"/>
            <w:tcMar>
              <w:top w:w="15" w:type="dxa"/>
              <w:left w:w="0" w:type="dxa"/>
              <w:bottom w:w="0" w:type="dxa"/>
              <w:right w:w="15" w:type="dxa"/>
            </w:tcMar>
            <w:vAlign w:val="bottom"/>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9" w:type="pct"/>
            <w:gridSpan w:val="2"/>
            <w:tcBorders>
              <w:top w:val="single" w:sz="6" w:space="0" w:color="000000"/>
              <w:bottom w:val="single" w:sz="6" w:space="0" w:color="000000"/>
            </w:tcBorders>
            <w:shd w:val="clear" w:color="auto" w:fill="FFFFFF"/>
            <w:tcMar>
              <w:top w:w="15" w:type="dxa"/>
              <w:left w:w="0" w:type="dxa"/>
              <w:bottom w:w="0" w:type="dxa"/>
              <w:right w:w="15" w:type="dxa"/>
            </w:tcMar>
            <w:vAlign w:val="bottom"/>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September 30, 2016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tcBorders>
              <w:top w:val="single" w:sz="6" w:space="0" w:color="000000"/>
            </w:tcBorders>
            <w:shd w:val="clear" w:color="auto" w:fill="FFFFFF"/>
            <w:tcMar>
              <w:top w:w="15" w:type="dxa"/>
              <w:left w:w="0" w:type="dxa"/>
              <w:bottom w:w="0" w:type="dxa"/>
              <w:right w:w="15" w:type="dxa"/>
            </w:tcMar>
            <w:vAlign w:val="bottom"/>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9" w:type="pct"/>
            <w:gridSpan w:val="2"/>
            <w:tcBorders>
              <w:top w:val="single" w:sz="6" w:space="0" w:color="000000"/>
              <w:bottom w:val="single" w:sz="6" w:space="0" w:color="000000"/>
            </w:tcBorders>
            <w:shd w:val="clear" w:color="auto" w:fill="FFFFFF"/>
            <w:tcMar>
              <w:top w:w="15" w:type="dxa"/>
              <w:left w:w="0" w:type="dxa"/>
              <w:bottom w:w="0" w:type="dxa"/>
              <w:right w:w="15" w:type="dxa"/>
            </w:tcMar>
            <w:vAlign w:val="bottom"/>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September 30, 2015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9" w:type="pct"/>
            <w:gridSpan w:val="2"/>
            <w:tcBorders>
              <w:bottom w:val="single" w:sz="6" w:space="0" w:color="000000"/>
            </w:tcBorders>
            <w:shd w:val="clear" w:color="auto" w:fill="FFFFFF"/>
            <w:tcMar>
              <w:top w:w="15" w:type="dxa"/>
              <w:left w:w="0" w:type="dxa"/>
              <w:bottom w:w="0" w:type="dxa"/>
              <w:right w:w="15" w:type="dxa"/>
            </w:tcMar>
            <w:vAlign w:val="bottom"/>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Increase </w:t>
            </w:r>
          </w:p>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(Decrease)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9" w:type="pct"/>
            <w:gridSpan w:val="2"/>
            <w:tcBorders>
              <w:bottom w:val="single" w:sz="6" w:space="0" w:color="000000"/>
            </w:tcBorders>
            <w:shd w:val="clear" w:color="auto" w:fill="FFFFFF"/>
            <w:tcMar>
              <w:top w:w="15" w:type="dxa"/>
              <w:left w:w="0" w:type="dxa"/>
              <w:bottom w:w="0" w:type="dxa"/>
              <w:right w:w="15" w:type="dxa"/>
            </w:tcMar>
            <w:vAlign w:val="bottom"/>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Percent </w:t>
            </w:r>
          </w:p>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Change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r>
      <w:tr w:rsidR="00EC499D" w:rsidRPr="00F47F88" w:rsidTr="00B2030D">
        <w:trPr>
          <w:jc w:val="center"/>
        </w:trPr>
        <w:tc>
          <w:tcPr>
            <w:tcW w:w="2517" w:type="pct"/>
            <w:shd w:val="clear" w:color="auto" w:fill="CFF0FC"/>
            <w:tcMar>
              <w:top w:w="15" w:type="dxa"/>
              <w:left w:w="0" w:type="dxa"/>
              <w:bottom w:w="0" w:type="dxa"/>
              <w:right w:w="15" w:type="dxa"/>
            </w:tcMar>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North America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top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top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jc w:val="right"/>
              <w:rPr>
                <w:rFonts w:ascii="Times" w:eastAsia="Times New Roman" w:hAnsi="Times" w:cs="Times New Roman"/>
                <w:sz w:val="24"/>
                <w:szCs w:val="24"/>
              </w:rPr>
            </w:pPr>
            <w:r w:rsidRPr="00F47F88">
              <w:rPr>
                <w:rFonts w:ascii="Times" w:eastAsia="Times New Roman" w:hAnsi="Times" w:cs="Times New Roman"/>
                <w:sz w:val="24"/>
                <w:szCs w:val="24"/>
              </w:rPr>
              <w:t xml:space="preserve">556,328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top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top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jc w:val="right"/>
              <w:rPr>
                <w:rFonts w:ascii="Times" w:eastAsia="Times New Roman" w:hAnsi="Times" w:cs="Times New Roman"/>
                <w:sz w:val="24"/>
                <w:szCs w:val="24"/>
              </w:rPr>
            </w:pPr>
            <w:r w:rsidRPr="00F47F88">
              <w:rPr>
                <w:rFonts w:ascii="Times" w:eastAsia="Times New Roman" w:hAnsi="Times" w:cs="Times New Roman"/>
                <w:sz w:val="24"/>
                <w:szCs w:val="24"/>
              </w:rPr>
              <w:t xml:space="preserve">563,119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top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top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jc w:val="right"/>
              <w:rPr>
                <w:rFonts w:ascii="Times" w:eastAsia="Times New Roman" w:hAnsi="Times" w:cs="Times New Roman"/>
                <w:sz w:val="24"/>
                <w:szCs w:val="24"/>
              </w:rPr>
            </w:pPr>
            <w:r w:rsidRPr="00F47F88">
              <w:rPr>
                <w:rFonts w:ascii="Times" w:eastAsia="Times New Roman" w:hAnsi="Times" w:cs="Times New Roman"/>
                <w:sz w:val="24"/>
                <w:szCs w:val="24"/>
              </w:rPr>
              <w:t xml:space="preserve">(6,791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top w:val="single" w:sz="6" w:space="0" w:color="000000"/>
            </w:tcBorders>
            <w:shd w:val="clear" w:color="auto" w:fill="CFF0FC"/>
            <w:noWrap/>
            <w:tcMar>
              <w:top w:w="15" w:type="dxa"/>
              <w:left w:w="0" w:type="dxa"/>
              <w:bottom w:w="0" w:type="dxa"/>
              <w:right w:w="15" w:type="dxa"/>
            </w:tcMar>
            <w:vAlign w:val="center"/>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top w:val="single" w:sz="6" w:space="0" w:color="000000"/>
            </w:tcBorders>
            <w:shd w:val="clear" w:color="auto" w:fill="CFF0FC"/>
            <w:noWrap/>
            <w:tcMar>
              <w:top w:w="15" w:type="dxa"/>
              <w:left w:w="0" w:type="dxa"/>
              <w:bottom w:w="0" w:type="dxa"/>
              <w:right w:w="15" w:type="dxa"/>
            </w:tcMar>
            <w:vAlign w:val="center"/>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-1 </w:t>
            </w:r>
          </w:p>
        </w:tc>
        <w:tc>
          <w:tcPr>
            <w:tcW w:w="50" w:type="pct"/>
            <w:shd w:val="clear" w:color="auto" w:fill="CFF0FC"/>
            <w:noWrap/>
            <w:tcMar>
              <w:top w:w="15" w:type="dxa"/>
              <w:left w:w="0" w:type="dxa"/>
              <w:bottom w:w="0" w:type="dxa"/>
              <w:right w:w="15" w:type="dxa"/>
            </w:tcMar>
            <w:vAlign w:val="center"/>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r>
      <w:tr w:rsidR="00EC499D" w:rsidRPr="00F47F88" w:rsidTr="00B2030D">
        <w:trPr>
          <w:jc w:val="center"/>
        </w:trPr>
        <w:tc>
          <w:tcPr>
            <w:tcW w:w="2517" w:type="pct"/>
            <w:shd w:val="clear" w:color="auto" w:fill="FFFFFF"/>
            <w:tcMar>
              <w:top w:w="15" w:type="dxa"/>
              <w:left w:w="0" w:type="dxa"/>
              <w:bottom w:w="0" w:type="dxa"/>
              <w:right w:w="15" w:type="dxa"/>
            </w:tcMar>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Europe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FFFFFF"/>
            <w:noWrap/>
            <w:tcMar>
              <w:top w:w="15" w:type="dxa"/>
              <w:left w:w="0" w:type="dxa"/>
              <w:bottom w:w="0" w:type="dxa"/>
              <w:right w:w="15" w:type="dxa"/>
            </w:tcMar>
            <w:vAlign w:val="bottom"/>
            <w:hideMark/>
          </w:tcPr>
          <w:p w:rsidR="00EC499D" w:rsidRPr="00F47F88" w:rsidRDefault="00EC499D" w:rsidP="00B2030D">
            <w:pPr>
              <w:jc w:val="right"/>
              <w:rPr>
                <w:rFonts w:ascii="Times" w:eastAsia="Times New Roman" w:hAnsi="Times" w:cs="Times New Roman"/>
                <w:sz w:val="24"/>
                <w:szCs w:val="24"/>
              </w:rPr>
            </w:pPr>
            <w:r w:rsidRPr="00F47F88">
              <w:rPr>
                <w:rFonts w:ascii="Times" w:eastAsia="Times New Roman" w:hAnsi="Times" w:cs="Times New Roman"/>
                <w:sz w:val="24"/>
                <w:szCs w:val="24"/>
              </w:rPr>
              <w:t xml:space="preserve">182,402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FFFFFF"/>
            <w:noWrap/>
            <w:tcMar>
              <w:top w:w="15" w:type="dxa"/>
              <w:left w:w="0" w:type="dxa"/>
              <w:bottom w:w="0" w:type="dxa"/>
              <w:right w:w="15" w:type="dxa"/>
            </w:tcMar>
            <w:vAlign w:val="bottom"/>
            <w:hideMark/>
          </w:tcPr>
          <w:p w:rsidR="00EC499D" w:rsidRPr="00F47F88" w:rsidRDefault="00EC499D" w:rsidP="00B2030D">
            <w:pPr>
              <w:jc w:val="right"/>
              <w:rPr>
                <w:rFonts w:ascii="Times" w:eastAsia="Times New Roman" w:hAnsi="Times" w:cs="Times New Roman"/>
                <w:sz w:val="24"/>
                <w:szCs w:val="24"/>
              </w:rPr>
            </w:pPr>
            <w:r w:rsidRPr="00F47F88">
              <w:rPr>
                <w:rFonts w:ascii="Times" w:eastAsia="Times New Roman" w:hAnsi="Times" w:cs="Times New Roman"/>
                <w:sz w:val="24"/>
                <w:szCs w:val="24"/>
              </w:rPr>
              <w:t xml:space="preserve">200,207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FFFFFF"/>
            <w:noWrap/>
            <w:tcMar>
              <w:top w:w="15" w:type="dxa"/>
              <w:left w:w="0" w:type="dxa"/>
              <w:bottom w:w="0" w:type="dxa"/>
              <w:right w:w="15" w:type="dxa"/>
            </w:tcMar>
            <w:vAlign w:val="bottom"/>
            <w:hideMark/>
          </w:tcPr>
          <w:p w:rsidR="00EC499D" w:rsidRPr="00F47F88" w:rsidRDefault="00EC499D" w:rsidP="00B2030D">
            <w:pPr>
              <w:jc w:val="right"/>
              <w:rPr>
                <w:rFonts w:ascii="Times" w:eastAsia="Times New Roman" w:hAnsi="Times" w:cs="Times New Roman"/>
                <w:sz w:val="24"/>
                <w:szCs w:val="24"/>
              </w:rPr>
            </w:pPr>
            <w:r w:rsidRPr="00F47F88">
              <w:rPr>
                <w:rFonts w:ascii="Times" w:eastAsia="Times New Roman" w:hAnsi="Times" w:cs="Times New Roman"/>
                <w:sz w:val="24"/>
                <w:szCs w:val="24"/>
              </w:rPr>
              <w:t xml:space="preserve">(17,805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center"/>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FFFFFF"/>
            <w:noWrap/>
            <w:tcMar>
              <w:top w:w="15" w:type="dxa"/>
              <w:left w:w="0" w:type="dxa"/>
              <w:bottom w:w="0" w:type="dxa"/>
              <w:right w:w="15" w:type="dxa"/>
            </w:tcMar>
            <w:vAlign w:val="center"/>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-9 </w:t>
            </w:r>
          </w:p>
        </w:tc>
        <w:tc>
          <w:tcPr>
            <w:tcW w:w="50" w:type="pct"/>
            <w:shd w:val="clear" w:color="auto" w:fill="FFFFFF"/>
            <w:noWrap/>
            <w:tcMar>
              <w:top w:w="15" w:type="dxa"/>
              <w:left w:w="0" w:type="dxa"/>
              <w:bottom w:w="0" w:type="dxa"/>
              <w:right w:w="15" w:type="dxa"/>
            </w:tcMar>
            <w:vAlign w:val="center"/>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r>
      <w:tr w:rsidR="00EC499D" w:rsidRPr="00F47F88" w:rsidTr="00B2030D">
        <w:trPr>
          <w:jc w:val="center"/>
        </w:trPr>
        <w:tc>
          <w:tcPr>
            <w:tcW w:w="2517" w:type="pct"/>
            <w:shd w:val="clear" w:color="auto" w:fill="CFF0FC"/>
            <w:tcMar>
              <w:top w:w="15" w:type="dxa"/>
              <w:left w:w="0" w:type="dxa"/>
              <w:bottom w:w="0" w:type="dxa"/>
              <w:right w:w="15" w:type="dxa"/>
            </w:tcMar>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Latin America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CFF0FC"/>
            <w:noWrap/>
            <w:tcMar>
              <w:top w:w="15" w:type="dxa"/>
              <w:left w:w="0" w:type="dxa"/>
              <w:bottom w:w="0" w:type="dxa"/>
              <w:right w:w="15" w:type="dxa"/>
            </w:tcMar>
            <w:vAlign w:val="bottom"/>
            <w:hideMark/>
          </w:tcPr>
          <w:p w:rsidR="00EC499D" w:rsidRPr="00F47F88" w:rsidRDefault="00EC499D" w:rsidP="00B2030D">
            <w:pPr>
              <w:jc w:val="right"/>
              <w:rPr>
                <w:rFonts w:ascii="Times" w:eastAsia="Times New Roman" w:hAnsi="Times" w:cs="Times New Roman"/>
                <w:sz w:val="24"/>
                <w:szCs w:val="24"/>
              </w:rPr>
            </w:pPr>
            <w:r w:rsidRPr="00F47F88">
              <w:rPr>
                <w:rFonts w:ascii="Times" w:eastAsia="Times New Roman" w:hAnsi="Times" w:cs="Times New Roman"/>
                <w:sz w:val="24"/>
                <w:szCs w:val="24"/>
              </w:rPr>
              <w:t xml:space="preserve">109,881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CFF0FC"/>
            <w:noWrap/>
            <w:tcMar>
              <w:top w:w="15" w:type="dxa"/>
              <w:left w:w="0" w:type="dxa"/>
              <w:bottom w:w="0" w:type="dxa"/>
              <w:right w:w="15" w:type="dxa"/>
            </w:tcMar>
            <w:vAlign w:val="bottom"/>
            <w:hideMark/>
          </w:tcPr>
          <w:p w:rsidR="00EC499D" w:rsidRPr="00F47F88" w:rsidRDefault="00EC499D" w:rsidP="00B2030D">
            <w:pPr>
              <w:jc w:val="right"/>
              <w:rPr>
                <w:rFonts w:ascii="Times" w:eastAsia="Times New Roman" w:hAnsi="Times" w:cs="Times New Roman"/>
                <w:sz w:val="24"/>
                <w:szCs w:val="24"/>
              </w:rPr>
            </w:pPr>
            <w:r w:rsidRPr="00F47F88">
              <w:rPr>
                <w:rFonts w:ascii="Times" w:eastAsia="Times New Roman" w:hAnsi="Times" w:cs="Times New Roman"/>
                <w:sz w:val="24"/>
                <w:szCs w:val="24"/>
              </w:rPr>
              <w:t xml:space="preserve">112,050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CFF0FC"/>
            <w:noWrap/>
            <w:tcMar>
              <w:top w:w="15" w:type="dxa"/>
              <w:left w:w="0" w:type="dxa"/>
              <w:bottom w:w="0" w:type="dxa"/>
              <w:right w:w="15" w:type="dxa"/>
            </w:tcMar>
            <w:vAlign w:val="bottom"/>
            <w:hideMark/>
          </w:tcPr>
          <w:p w:rsidR="00EC499D" w:rsidRPr="00F47F88" w:rsidRDefault="00EC499D" w:rsidP="00B2030D">
            <w:pPr>
              <w:jc w:val="right"/>
              <w:rPr>
                <w:rFonts w:ascii="Times" w:eastAsia="Times New Roman" w:hAnsi="Times" w:cs="Times New Roman"/>
                <w:sz w:val="24"/>
                <w:szCs w:val="24"/>
              </w:rPr>
            </w:pPr>
            <w:r w:rsidRPr="00F47F88">
              <w:rPr>
                <w:rFonts w:ascii="Times" w:eastAsia="Times New Roman" w:hAnsi="Times" w:cs="Times New Roman"/>
                <w:sz w:val="24"/>
                <w:szCs w:val="24"/>
              </w:rPr>
              <w:t xml:space="preserve">(2,169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CFF0FC"/>
            <w:noWrap/>
            <w:tcMar>
              <w:top w:w="15" w:type="dxa"/>
              <w:left w:w="0" w:type="dxa"/>
              <w:bottom w:w="0" w:type="dxa"/>
              <w:right w:w="15" w:type="dxa"/>
            </w:tcMar>
            <w:vAlign w:val="center"/>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CFF0FC"/>
            <w:noWrap/>
            <w:tcMar>
              <w:top w:w="15" w:type="dxa"/>
              <w:left w:w="0" w:type="dxa"/>
              <w:bottom w:w="0" w:type="dxa"/>
              <w:right w:w="15" w:type="dxa"/>
            </w:tcMar>
            <w:vAlign w:val="center"/>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-2 </w:t>
            </w:r>
          </w:p>
        </w:tc>
        <w:tc>
          <w:tcPr>
            <w:tcW w:w="50" w:type="pct"/>
            <w:shd w:val="clear" w:color="auto" w:fill="CFF0FC"/>
            <w:noWrap/>
            <w:tcMar>
              <w:top w:w="15" w:type="dxa"/>
              <w:left w:w="0" w:type="dxa"/>
              <w:bottom w:w="0" w:type="dxa"/>
              <w:right w:w="15" w:type="dxa"/>
            </w:tcMar>
            <w:vAlign w:val="center"/>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r>
      <w:tr w:rsidR="00EC499D" w:rsidRPr="00F47F88" w:rsidTr="00B2030D">
        <w:trPr>
          <w:jc w:val="center"/>
        </w:trPr>
        <w:tc>
          <w:tcPr>
            <w:tcW w:w="2517" w:type="pct"/>
            <w:shd w:val="clear" w:color="auto" w:fill="FFFFFF"/>
            <w:tcMar>
              <w:top w:w="15" w:type="dxa"/>
              <w:left w:w="0" w:type="dxa"/>
              <w:bottom w:w="0" w:type="dxa"/>
              <w:right w:w="15" w:type="dxa"/>
            </w:tcMar>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Asia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bottom w:val="single" w:sz="6" w:space="0" w:color="000000"/>
            </w:tcBorders>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bottom w:val="single" w:sz="6" w:space="0" w:color="000000"/>
            </w:tcBorders>
            <w:shd w:val="clear" w:color="auto" w:fill="FFFFFF"/>
            <w:noWrap/>
            <w:tcMar>
              <w:top w:w="15" w:type="dxa"/>
              <w:left w:w="0" w:type="dxa"/>
              <w:bottom w:w="0" w:type="dxa"/>
              <w:right w:w="15" w:type="dxa"/>
            </w:tcMar>
            <w:vAlign w:val="bottom"/>
            <w:hideMark/>
          </w:tcPr>
          <w:p w:rsidR="00EC499D" w:rsidRPr="00F47F88" w:rsidRDefault="00EC499D" w:rsidP="00B2030D">
            <w:pPr>
              <w:jc w:val="right"/>
              <w:rPr>
                <w:rFonts w:ascii="Times" w:eastAsia="Times New Roman" w:hAnsi="Times" w:cs="Times New Roman"/>
                <w:sz w:val="24"/>
                <w:szCs w:val="24"/>
              </w:rPr>
            </w:pPr>
            <w:r w:rsidRPr="00F47F88">
              <w:rPr>
                <w:rFonts w:ascii="Times" w:eastAsia="Times New Roman" w:hAnsi="Times" w:cs="Times New Roman"/>
                <w:sz w:val="24"/>
                <w:szCs w:val="24"/>
              </w:rPr>
              <w:t xml:space="preserve">50,403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bottom w:val="single" w:sz="6" w:space="0" w:color="000000"/>
            </w:tcBorders>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bottom w:val="single" w:sz="6" w:space="0" w:color="000000"/>
            </w:tcBorders>
            <w:shd w:val="clear" w:color="auto" w:fill="FFFFFF"/>
            <w:noWrap/>
            <w:tcMar>
              <w:top w:w="15" w:type="dxa"/>
              <w:left w:w="0" w:type="dxa"/>
              <w:bottom w:w="0" w:type="dxa"/>
              <w:right w:w="15" w:type="dxa"/>
            </w:tcMar>
            <w:vAlign w:val="bottom"/>
            <w:hideMark/>
          </w:tcPr>
          <w:p w:rsidR="00EC499D" w:rsidRPr="00F47F88" w:rsidRDefault="00EC499D" w:rsidP="00B2030D">
            <w:pPr>
              <w:jc w:val="right"/>
              <w:rPr>
                <w:rFonts w:ascii="Times" w:eastAsia="Times New Roman" w:hAnsi="Times" w:cs="Times New Roman"/>
                <w:sz w:val="24"/>
                <w:szCs w:val="24"/>
              </w:rPr>
            </w:pPr>
            <w:r w:rsidRPr="00F47F88">
              <w:rPr>
                <w:rFonts w:ascii="Times" w:eastAsia="Times New Roman" w:hAnsi="Times" w:cs="Times New Roman"/>
                <w:sz w:val="24"/>
                <w:szCs w:val="24"/>
              </w:rPr>
              <w:t xml:space="preserve">45,748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bottom w:val="single" w:sz="6" w:space="0" w:color="000000"/>
            </w:tcBorders>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bottom w:val="single" w:sz="6" w:space="0" w:color="000000"/>
            </w:tcBorders>
            <w:shd w:val="clear" w:color="auto" w:fill="FFFFFF"/>
            <w:noWrap/>
            <w:tcMar>
              <w:top w:w="15" w:type="dxa"/>
              <w:left w:w="0" w:type="dxa"/>
              <w:bottom w:w="0" w:type="dxa"/>
              <w:right w:w="15" w:type="dxa"/>
            </w:tcMar>
            <w:vAlign w:val="bottom"/>
            <w:hideMark/>
          </w:tcPr>
          <w:p w:rsidR="00EC499D" w:rsidRPr="00F47F88" w:rsidRDefault="00EC499D" w:rsidP="00B2030D">
            <w:pPr>
              <w:jc w:val="right"/>
              <w:rPr>
                <w:rFonts w:ascii="Times" w:eastAsia="Times New Roman" w:hAnsi="Times" w:cs="Times New Roman"/>
                <w:sz w:val="24"/>
                <w:szCs w:val="24"/>
              </w:rPr>
            </w:pPr>
            <w:r w:rsidRPr="00F47F88">
              <w:rPr>
                <w:rFonts w:ascii="Times" w:eastAsia="Times New Roman" w:hAnsi="Times" w:cs="Times New Roman"/>
                <w:sz w:val="24"/>
                <w:szCs w:val="24"/>
              </w:rPr>
              <w:t xml:space="preserve">4,655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center"/>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FFFFFF"/>
            <w:noWrap/>
            <w:tcMar>
              <w:top w:w="15" w:type="dxa"/>
              <w:left w:w="0" w:type="dxa"/>
              <w:bottom w:w="0" w:type="dxa"/>
              <w:right w:w="15" w:type="dxa"/>
            </w:tcMar>
            <w:vAlign w:val="center"/>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10 </w:t>
            </w:r>
          </w:p>
        </w:tc>
        <w:tc>
          <w:tcPr>
            <w:tcW w:w="50" w:type="pct"/>
            <w:shd w:val="clear" w:color="auto" w:fill="FFFFFF"/>
            <w:noWrap/>
            <w:tcMar>
              <w:top w:w="15" w:type="dxa"/>
              <w:left w:w="0" w:type="dxa"/>
              <w:bottom w:w="0" w:type="dxa"/>
              <w:right w:w="15" w:type="dxa"/>
            </w:tcMar>
            <w:vAlign w:val="center"/>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r>
      <w:tr w:rsidR="00EC499D" w:rsidRPr="00F47F88" w:rsidTr="00B2030D">
        <w:trPr>
          <w:jc w:val="center"/>
        </w:trPr>
        <w:tc>
          <w:tcPr>
            <w:tcW w:w="2517" w:type="pct"/>
            <w:shd w:val="clear" w:color="auto" w:fill="CFF0FC"/>
            <w:tcMar>
              <w:top w:w="15" w:type="dxa"/>
              <w:left w:w="0" w:type="dxa"/>
              <w:bottom w:w="0" w:type="dxa"/>
              <w:right w:w="15" w:type="dxa"/>
            </w:tcMar>
            <w:hideMark/>
          </w:tcPr>
          <w:p w:rsidR="00EC499D" w:rsidRPr="00F47F88" w:rsidRDefault="00EC499D" w:rsidP="00B2030D">
            <w:pPr>
              <w:ind w:left="274"/>
              <w:rPr>
                <w:rFonts w:ascii="Times" w:eastAsia="Times New Roman" w:hAnsi="Times" w:cs="Times New Roman"/>
                <w:sz w:val="24"/>
                <w:szCs w:val="24"/>
              </w:rPr>
            </w:pPr>
            <w:r w:rsidRPr="00F47F88">
              <w:rPr>
                <w:rFonts w:ascii="Times" w:eastAsia="Times New Roman" w:hAnsi="Times" w:cs="Times New Roman"/>
                <w:sz w:val="24"/>
                <w:szCs w:val="24"/>
              </w:rPr>
              <w:t xml:space="preserve">Total Surfactants Segment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top w:val="single" w:sz="6" w:space="0" w:color="000000"/>
              <w:bottom w:val="doub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top w:val="single" w:sz="6" w:space="0" w:color="000000"/>
              <w:bottom w:val="doub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jc w:val="right"/>
              <w:rPr>
                <w:rFonts w:ascii="Times" w:eastAsia="Times New Roman" w:hAnsi="Times" w:cs="Times New Roman"/>
                <w:sz w:val="24"/>
                <w:szCs w:val="24"/>
              </w:rPr>
            </w:pPr>
            <w:r w:rsidRPr="00F47F88">
              <w:rPr>
                <w:rFonts w:ascii="Times" w:eastAsia="Times New Roman" w:hAnsi="Times" w:cs="Times New Roman"/>
                <w:sz w:val="24"/>
                <w:szCs w:val="24"/>
              </w:rPr>
              <w:t xml:space="preserve">899,014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top w:val="single" w:sz="6" w:space="0" w:color="000000"/>
              <w:bottom w:val="doub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top w:val="single" w:sz="6" w:space="0" w:color="000000"/>
              <w:bottom w:val="doub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jc w:val="right"/>
              <w:rPr>
                <w:rFonts w:ascii="Times" w:eastAsia="Times New Roman" w:hAnsi="Times" w:cs="Times New Roman"/>
                <w:sz w:val="24"/>
                <w:szCs w:val="24"/>
              </w:rPr>
            </w:pPr>
            <w:r w:rsidRPr="00F47F88">
              <w:rPr>
                <w:rFonts w:ascii="Times" w:eastAsia="Times New Roman" w:hAnsi="Times" w:cs="Times New Roman"/>
                <w:sz w:val="24"/>
                <w:szCs w:val="24"/>
              </w:rPr>
              <w:t xml:space="preserve">921,124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top w:val="single" w:sz="6" w:space="0" w:color="000000"/>
              <w:bottom w:val="doub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top w:val="single" w:sz="6" w:space="0" w:color="000000"/>
              <w:bottom w:val="doub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jc w:val="right"/>
              <w:rPr>
                <w:rFonts w:ascii="Times" w:eastAsia="Times New Roman" w:hAnsi="Times" w:cs="Times New Roman"/>
                <w:sz w:val="24"/>
                <w:szCs w:val="24"/>
              </w:rPr>
            </w:pPr>
            <w:r w:rsidRPr="00F47F88">
              <w:rPr>
                <w:rFonts w:ascii="Times" w:eastAsia="Times New Roman" w:hAnsi="Times" w:cs="Times New Roman"/>
                <w:sz w:val="24"/>
                <w:szCs w:val="24"/>
              </w:rPr>
              <w:t xml:space="preserve">(22,110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CFF0FC"/>
            <w:noWrap/>
            <w:tcMar>
              <w:top w:w="15" w:type="dxa"/>
              <w:left w:w="0" w:type="dxa"/>
              <w:bottom w:w="0" w:type="dxa"/>
              <w:right w:w="15" w:type="dxa"/>
            </w:tcMar>
            <w:vAlign w:val="center"/>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CFF0FC"/>
            <w:noWrap/>
            <w:tcMar>
              <w:top w:w="15" w:type="dxa"/>
              <w:left w:w="0" w:type="dxa"/>
              <w:bottom w:w="0" w:type="dxa"/>
              <w:right w:w="15" w:type="dxa"/>
            </w:tcMar>
            <w:vAlign w:val="center"/>
            <w:hideMark/>
          </w:tcPr>
          <w:p w:rsidR="00EC499D" w:rsidRPr="00F47F88" w:rsidRDefault="00EC499D" w:rsidP="00B2030D">
            <w:pPr>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-2 </w:t>
            </w:r>
          </w:p>
        </w:tc>
        <w:tc>
          <w:tcPr>
            <w:tcW w:w="50" w:type="pct"/>
            <w:shd w:val="clear" w:color="auto" w:fill="CFF0FC"/>
            <w:noWrap/>
            <w:tcMar>
              <w:top w:w="15" w:type="dxa"/>
              <w:left w:w="0" w:type="dxa"/>
              <w:bottom w:w="0" w:type="dxa"/>
              <w:right w:w="15" w:type="dxa"/>
            </w:tcMar>
            <w:vAlign w:val="center"/>
            <w:hideMark/>
          </w:tcPr>
          <w:p w:rsidR="00EC499D" w:rsidRPr="00F47F88" w:rsidRDefault="00EC499D" w:rsidP="00B2030D">
            <w:pP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r>
    </w:tbl>
    <w:p w:rsidR="00EC499D" w:rsidRPr="00F47F88" w:rsidRDefault="00EC499D" w:rsidP="00EC499D">
      <w:pPr>
        <w:rPr>
          <w:rFonts w:ascii="Times" w:hAnsi="Times"/>
          <w:sz w:val="24"/>
          <w:szCs w:val="24"/>
        </w:rPr>
      </w:pPr>
      <w:r w:rsidRPr="00F47F88">
        <w:rPr>
          <w:rFonts w:ascii="Times" w:hAnsi="Times"/>
          <w:sz w:val="24"/>
          <w:szCs w:val="24"/>
        </w:rPr>
        <w:tab/>
      </w:r>
    </w:p>
    <w:p w:rsidR="00EC499D" w:rsidRPr="00E71C10" w:rsidRDefault="00EC499D" w:rsidP="00EC499D">
      <w:pPr>
        <w:spacing w:after="0" w:line="480" w:lineRule="auto"/>
        <w:rPr>
          <w:rFonts w:ascii="Times" w:hAnsi="Times"/>
          <w:sz w:val="24"/>
          <w:szCs w:val="24"/>
          <w:u w:val="single"/>
        </w:rPr>
      </w:pPr>
      <w:r w:rsidRPr="00E71C10">
        <w:rPr>
          <w:rFonts w:ascii="Times" w:hAnsi="Times"/>
          <w:sz w:val="24"/>
          <w:szCs w:val="24"/>
          <w:u w:val="single"/>
        </w:rPr>
        <w:lastRenderedPageBreak/>
        <w:t xml:space="preserve">Polymers Market Overview: </w:t>
      </w:r>
    </w:p>
    <w:p w:rsidR="00EC499D" w:rsidRPr="00F47F88" w:rsidRDefault="00EC499D" w:rsidP="00EC499D">
      <w:pPr>
        <w:spacing w:after="0" w:line="480" w:lineRule="auto"/>
        <w:rPr>
          <w:rFonts w:ascii="Times" w:hAnsi="Times"/>
          <w:sz w:val="24"/>
          <w:szCs w:val="24"/>
        </w:rPr>
      </w:pPr>
      <w:r>
        <w:rPr>
          <w:rFonts w:ascii="Times" w:hAnsi="Times"/>
          <w:sz w:val="24"/>
          <w:szCs w:val="24"/>
        </w:rPr>
        <w:tab/>
      </w:r>
      <w:r w:rsidRPr="00F47F88">
        <w:rPr>
          <w:rFonts w:ascii="Times" w:hAnsi="Times"/>
          <w:sz w:val="24"/>
          <w:szCs w:val="24"/>
        </w:rPr>
        <w:t>“The global polymer industry is expected to grow with a CAGR of 3.9% over 2015-2020. The demand for polymer is driven by growth in end use markets, such as packaging, automotive, infrastructure, transport rails, and telecommunication mainly from emerging economies. On the basis of its comprehensive research, Lucintel forecasts that majority of the segments for the global polymer will have good growth during 2015-2020.”</w:t>
      </w:r>
    </w:p>
    <w:tbl>
      <w:tblPr>
        <w:tblW w:w="4500" w:type="pct"/>
        <w:jc w:val="center"/>
        <w:tblCellMar>
          <w:left w:w="0" w:type="dxa"/>
          <w:right w:w="0" w:type="dxa"/>
        </w:tblCellMar>
        <w:tblLook w:val="04A0" w:firstRow="1" w:lastRow="0" w:firstColumn="1" w:lastColumn="0" w:noHBand="0" w:noVBand="1"/>
      </w:tblPr>
      <w:tblGrid>
        <w:gridCol w:w="4877"/>
        <w:gridCol w:w="101"/>
        <w:gridCol w:w="136"/>
        <w:gridCol w:w="940"/>
        <w:gridCol w:w="79"/>
        <w:gridCol w:w="101"/>
        <w:gridCol w:w="136"/>
        <w:gridCol w:w="940"/>
        <w:gridCol w:w="80"/>
        <w:gridCol w:w="102"/>
        <w:gridCol w:w="136"/>
        <w:gridCol w:w="875"/>
        <w:gridCol w:w="80"/>
        <w:gridCol w:w="102"/>
        <w:gridCol w:w="80"/>
        <w:gridCol w:w="875"/>
        <w:gridCol w:w="80"/>
      </w:tblGrid>
      <w:tr w:rsidR="00EC499D" w:rsidRPr="00F47F88" w:rsidTr="00B2030D">
        <w:trPr>
          <w:jc w:val="center"/>
        </w:trPr>
        <w:tc>
          <w:tcPr>
            <w:tcW w:w="2517" w:type="pct"/>
            <w:shd w:val="clear" w:color="auto" w:fill="FFFFFF"/>
            <w:tcMar>
              <w:top w:w="15" w:type="dxa"/>
              <w:left w:w="0" w:type="dxa"/>
              <w:bottom w:w="0" w:type="dxa"/>
              <w:right w:w="15" w:type="dxa"/>
            </w:tcMar>
            <w:vAlign w:val="bottom"/>
            <w:hideMark/>
          </w:tcPr>
          <w:p w:rsidR="00EC499D" w:rsidRPr="00F47F88" w:rsidRDefault="00EC499D" w:rsidP="00B2030D">
            <w:pPr>
              <w:spacing w:after="0" w:line="240" w:lineRule="auto"/>
              <w:rPr>
                <w:rFonts w:ascii="Times" w:eastAsia="Times New Roman" w:hAnsi="Times" w:cs="Times New Roman"/>
                <w:i/>
                <w:iCs/>
                <w:sz w:val="24"/>
                <w:szCs w:val="24"/>
              </w:rPr>
            </w:pPr>
            <w:r w:rsidRPr="00F47F88">
              <w:rPr>
                <w:rFonts w:ascii="Times" w:eastAsia="Times New Roman" w:hAnsi="Times" w:cs="Times New Roman"/>
                <w:i/>
                <w:iCs/>
                <w:sz w:val="24"/>
                <w:szCs w:val="24"/>
              </w:rPr>
              <w:t xml:space="preserve">(In thousands)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spacing w:after="0"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1130" w:type="pct"/>
            <w:gridSpan w:val="6"/>
            <w:tcBorders>
              <w:bottom w:val="single" w:sz="6" w:space="0" w:color="000000"/>
            </w:tcBorders>
            <w:shd w:val="clear" w:color="auto" w:fill="FFFFFF"/>
            <w:tcMar>
              <w:top w:w="15" w:type="dxa"/>
              <w:left w:w="0" w:type="dxa"/>
              <w:bottom w:w="0" w:type="dxa"/>
              <w:right w:w="15" w:type="dxa"/>
            </w:tcMar>
            <w:vAlign w:val="bottom"/>
            <w:hideMark/>
          </w:tcPr>
          <w:p w:rsidR="00EC499D" w:rsidRPr="00F47F88" w:rsidRDefault="00EC499D" w:rsidP="00B2030D">
            <w:pPr>
              <w:spacing w:after="0"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For the Nine Months Ended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after="0"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spacing w:after="0"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after="0"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FFFFFF"/>
            <w:noWrap/>
            <w:tcMar>
              <w:top w:w="15" w:type="dxa"/>
              <w:left w:w="0" w:type="dxa"/>
              <w:bottom w:w="0" w:type="dxa"/>
              <w:right w:w="15" w:type="dxa"/>
            </w:tcMar>
            <w:vAlign w:val="bottom"/>
            <w:hideMark/>
          </w:tcPr>
          <w:p w:rsidR="00EC499D" w:rsidRPr="00F47F88" w:rsidRDefault="00EC499D" w:rsidP="00B2030D">
            <w:pPr>
              <w:spacing w:after="0"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after="0"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spacing w:after="0"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after="0"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FFFFFF"/>
            <w:noWrap/>
            <w:tcMar>
              <w:top w:w="15" w:type="dxa"/>
              <w:left w:w="0" w:type="dxa"/>
              <w:bottom w:w="0" w:type="dxa"/>
              <w:right w:w="15" w:type="dxa"/>
            </w:tcMar>
            <w:vAlign w:val="bottom"/>
            <w:hideMark/>
          </w:tcPr>
          <w:p w:rsidR="00EC499D" w:rsidRPr="00F47F88" w:rsidRDefault="00EC499D" w:rsidP="00B2030D">
            <w:pPr>
              <w:spacing w:after="0"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after="0"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r>
      <w:tr w:rsidR="00EC499D" w:rsidRPr="00F47F88" w:rsidTr="00B2030D">
        <w:trPr>
          <w:jc w:val="center"/>
        </w:trPr>
        <w:tc>
          <w:tcPr>
            <w:tcW w:w="2517" w:type="pct"/>
            <w:shd w:val="clear" w:color="auto" w:fill="FFFFFF"/>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spacing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9" w:type="pct"/>
            <w:gridSpan w:val="2"/>
            <w:tcBorders>
              <w:top w:val="single" w:sz="6" w:space="0" w:color="000000"/>
              <w:bottom w:val="single" w:sz="6" w:space="0" w:color="000000"/>
            </w:tcBorders>
            <w:shd w:val="clear" w:color="auto" w:fill="FFFFFF"/>
            <w:tcMar>
              <w:top w:w="15" w:type="dxa"/>
              <w:left w:w="0" w:type="dxa"/>
              <w:bottom w:w="0" w:type="dxa"/>
              <w:right w:w="15" w:type="dxa"/>
            </w:tcMar>
            <w:vAlign w:val="bottom"/>
            <w:hideMark/>
          </w:tcPr>
          <w:p w:rsidR="00EC499D" w:rsidRPr="00F47F88" w:rsidRDefault="00EC499D" w:rsidP="00B2030D">
            <w:pPr>
              <w:spacing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September 30, 2016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tcBorders>
              <w:top w:val="single" w:sz="6" w:space="0" w:color="000000"/>
            </w:tcBorders>
            <w:shd w:val="clear" w:color="auto" w:fill="FFFFFF"/>
            <w:tcMar>
              <w:top w:w="15" w:type="dxa"/>
              <w:left w:w="0" w:type="dxa"/>
              <w:bottom w:w="0" w:type="dxa"/>
              <w:right w:w="15" w:type="dxa"/>
            </w:tcMar>
            <w:vAlign w:val="bottom"/>
            <w:hideMark/>
          </w:tcPr>
          <w:p w:rsidR="00EC499D" w:rsidRPr="00F47F88" w:rsidRDefault="00EC499D" w:rsidP="00B2030D">
            <w:pPr>
              <w:spacing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9" w:type="pct"/>
            <w:gridSpan w:val="2"/>
            <w:tcBorders>
              <w:top w:val="single" w:sz="6" w:space="0" w:color="000000"/>
              <w:bottom w:val="single" w:sz="6" w:space="0" w:color="000000"/>
            </w:tcBorders>
            <w:shd w:val="clear" w:color="auto" w:fill="FFFFFF"/>
            <w:tcMar>
              <w:top w:w="15" w:type="dxa"/>
              <w:left w:w="0" w:type="dxa"/>
              <w:bottom w:w="0" w:type="dxa"/>
              <w:right w:w="15" w:type="dxa"/>
            </w:tcMar>
            <w:vAlign w:val="bottom"/>
            <w:hideMark/>
          </w:tcPr>
          <w:p w:rsidR="00EC499D" w:rsidRPr="00F47F88" w:rsidRDefault="00EC499D" w:rsidP="00B2030D">
            <w:pPr>
              <w:spacing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September 30, 2015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spacing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9" w:type="pct"/>
            <w:gridSpan w:val="2"/>
            <w:tcBorders>
              <w:bottom w:val="single" w:sz="6" w:space="0" w:color="000000"/>
            </w:tcBorders>
            <w:shd w:val="clear" w:color="auto" w:fill="FFFFFF"/>
            <w:tcMar>
              <w:top w:w="15" w:type="dxa"/>
              <w:left w:w="0" w:type="dxa"/>
              <w:bottom w:w="0" w:type="dxa"/>
              <w:right w:w="15" w:type="dxa"/>
            </w:tcMar>
            <w:vAlign w:val="bottom"/>
            <w:hideMark/>
          </w:tcPr>
          <w:p w:rsidR="00EC499D" w:rsidRPr="00F47F88" w:rsidRDefault="00EC499D" w:rsidP="00B2030D">
            <w:pPr>
              <w:spacing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Increase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spacing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9" w:type="pct"/>
            <w:gridSpan w:val="2"/>
            <w:tcBorders>
              <w:bottom w:val="single" w:sz="6" w:space="0" w:color="000000"/>
            </w:tcBorders>
            <w:shd w:val="clear" w:color="auto" w:fill="FFFFFF"/>
            <w:tcMar>
              <w:top w:w="15" w:type="dxa"/>
              <w:left w:w="0" w:type="dxa"/>
              <w:bottom w:w="0" w:type="dxa"/>
              <w:right w:w="15" w:type="dxa"/>
            </w:tcMar>
            <w:vAlign w:val="bottom"/>
            <w:hideMark/>
          </w:tcPr>
          <w:p w:rsidR="00EC499D" w:rsidRPr="00F47F88" w:rsidRDefault="00EC499D" w:rsidP="00B2030D">
            <w:pPr>
              <w:spacing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Percent </w:t>
            </w:r>
          </w:p>
          <w:p w:rsidR="00EC499D" w:rsidRPr="00F47F88" w:rsidRDefault="00EC499D" w:rsidP="00B2030D">
            <w:pPr>
              <w:spacing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Change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r>
      <w:tr w:rsidR="00EC499D" w:rsidRPr="00F47F88" w:rsidTr="00B2030D">
        <w:trPr>
          <w:jc w:val="center"/>
        </w:trPr>
        <w:tc>
          <w:tcPr>
            <w:tcW w:w="2517" w:type="pct"/>
            <w:shd w:val="clear" w:color="auto" w:fill="CFF0FC"/>
            <w:tcMar>
              <w:top w:w="15" w:type="dxa"/>
              <w:left w:w="0" w:type="dxa"/>
              <w:bottom w:w="0" w:type="dxa"/>
              <w:right w:w="15" w:type="dxa"/>
            </w:tcMar>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North America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top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top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jc w:val="right"/>
              <w:rPr>
                <w:rFonts w:ascii="Times" w:eastAsia="Times New Roman" w:hAnsi="Times" w:cs="Times New Roman"/>
                <w:sz w:val="24"/>
                <w:szCs w:val="24"/>
              </w:rPr>
            </w:pPr>
            <w:r w:rsidRPr="00F47F88">
              <w:rPr>
                <w:rFonts w:ascii="Times" w:eastAsia="Times New Roman" w:hAnsi="Times" w:cs="Times New Roman"/>
                <w:sz w:val="24"/>
                <w:szCs w:val="24"/>
              </w:rPr>
              <w:t xml:space="preserve">245,292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top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top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jc w:val="right"/>
              <w:rPr>
                <w:rFonts w:ascii="Times" w:eastAsia="Times New Roman" w:hAnsi="Times" w:cs="Times New Roman"/>
                <w:sz w:val="24"/>
                <w:szCs w:val="24"/>
              </w:rPr>
            </w:pPr>
            <w:r w:rsidRPr="00F47F88">
              <w:rPr>
                <w:rFonts w:ascii="Times" w:eastAsia="Times New Roman" w:hAnsi="Times" w:cs="Times New Roman"/>
                <w:sz w:val="24"/>
                <w:szCs w:val="24"/>
              </w:rPr>
              <w:t xml:space="preserve">244,617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top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top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jc w:val="right"/>
              <w:rPr>
                <w:rFonts w:ascii="Times" w:eastAsia="Times New Roman" w:hAnsi="Times" w:cs="Times New Roman"/>
                <w:sz w:val="24"/>
                <w:szCs w:val="24"/>
              </w:rPr>
            </w:pPr>
            <w:r w:rsidRPr="00F47F88">
              <w:rPr>
                <w:rFonts w:ascii="Times" w:eastAsia="Times New Roman" w:hAnsi="Times" w:cs="Times New Roman"/>
                <w:sz w:val="24"/>
                <w:szCs w:val="24"/>
              </w:rPr>
              <w:t xml:space="preserve">675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top w:val="single" w:sz="6" w:space="0" w:color="000000"/>
            </w:tcBorders>
            <w:shd w:val="clear" w:color="auto" w:fill="CFF0FC"/>
            <w:noWrap/>
            <w:tcMar>
              <w:top w:w="15" w:type="dxa"/>
              <w:left w:w="0" w:type="dxa"/>
              <w:bottom w:w="0" w:type="dxa"/>
              <w:right w:w="15" w:type="dxa"/>
            </w:tcMar>
            <w:vAlign w:val="center"/>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top w:val="single" w:sz="6" w:space="0" w:color="000000"/>
            </w:tcBorders>
            <w:shd w:val="clear" w:color="auto" w:fill="CFF0FC"/>
            <w:noWrap/>
            <w:tcMar>
              <w:top w:w="15" w:type="dxa"/>
              <w:left w:w="0" w:type="dxa"/>
              <w:bottom w:w="0" w:type="dxa"/>
              <w:right w:w="15" w:type="dxa"/>
            </w:tcMar>
            <w:vAlign w:val="center"/>
            <w:hideMark/>
          </w:tcPr>
          <w:p w:rsidR="00EC499D" w:rsidRPr="00F47F88" w:rsidRDefault="00EC499D" w:rsidP="00B2030D">
            <w:pPr>
              <w:spacing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CFF0FC"/>
            <w:noWrap/>
            <w:tcMar>
              <w:top w:w="15" w:type="dxa"/>
              <w:left w:w="0" w:type="dxa"/>
              <w:bottom w:w="0" w:type="dxa"/>
              <w:right w:w="15" w:type="dxa"/>
            </w:tcMar>
            <w:vAlign w:val="center"/>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r>
      <w:tr w:rsidR="00EC499D" w:rsidRPr="00F47F88" w:rsidTr="00B2030D">
        <w:trPr>
          <w:jc w:val="center"/>
        </w:trPr>
        <w:tc>
          <w:tcPr>
            <w:tcW w:w="2517" w:type="pct"/>
            <w:shd w:val="clear" w:color="auto" w:fill="FFFFFF"/>
            <w:tcMar>
              <w:top w:w="15" w:type="dxa"/>
              <w:left w:w="0" w:type="dxa"/>
              <w:bottom w:w="0" w:type="dxa"/>
              <w:right w:w="15" w:type="dxa"/>
            </w:tcMar>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Europe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jc w:val="right"/>
              <w:rPr>
                <w:rFonts w:ascii="Times" w:eastAsia="Times New Roman" w:hAnsi="Times" w:cs="Times New Roman"/>
                <w:sz w:val="24"/>
                <w:szCs w:val="24"/>
              </w:rPr>
            </w:pPr>
            <w:r w:rsidRPr="00F47F88">
              <w:rPr>
                <w:rFonts w:ascii="Times" w:eastAsia="Times New Roman" w:hAnsi="Times" w:cs="Times New Roman"/>
                <w:sz w:val="24"/>
                <w:szCs w:val="24"/>
              </w:rPr>
              <w:t xml:space="preserve">118,706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jc w:val="right"/>
              <w:rPr>
                <w:rFonts w:ascii="Times" w:eastAsia="Times New Roman" w:hAnsi="Times" w:cs="Times New Roman"/>
                <w:sz w:val="24"/>
                <w:szCs w:val="24"/>
              </w:rPr>
            </w:pPr>
            <w:r w:rsidRPr="00F47F88">
              <w:rPr>
                <w:rFonts w:ascii="Times" w:eastAsia="Times New Roman" w:hAnsi="Times" w:cs="Times New Roman"/>
                <w:sz w:val="24"/>
                <w:szCs w:val="24"/>
              </w:rPr>
              <w:t xml:space="preserve">116,049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jc w:val="right"/>
              <w:rPr>
                <w:rFonts w:ascii="Times" w:eastAsia="Times New Roman" w:hAnsi="Times" w:cs="Times New Roman"/>
                <w:sz w:val="24"/>
                <w:szCs w:val="24"/>
              </w:rPr>
            </w:pPr>
            <w:r w:rsidRPr="00F47F88">
              <w:rPr>
                <w:rFonts w:ascii="Times" w:eastAsia="Times New Roman" w:hAnsi="Times" w:cs="Times New Roman"/>
                <w:sz w:val="24"/>
                <w:szCs w:val="24"/>
              </w:rPr>
              <w:t xml:space="preserve">2,657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center"/>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FFFFFF"/>
            <w:noWrap/>
            <w:tcMar>
              <w:top w:w="15" w:type="dxa"/>
              <w:left w:w="0" w:type="dxa"/>
              <w:bottom w:w="0" w:type="dxa"/>
              <w:right w:w="15" w:type="dxa"/>
            </w:tcMar>
            <w:vAlign w:val="center"/>
            <w:hideMark/>
          </w:tcPr>
          <w:p w:rsidR="00EC499D" w:rsidRPr="00F47F88" w:rsidRDefault="00EC499D" w:rsidP="00B2030D">
            <w:pPr>
              <w:spacing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2 </w:t>
            </w:r>
          </w:p>
        </w:tc>
        <w:tc>
          <w:tcPr>
            <w:tcW w:w="50" w:type="pct"/>
            <w:shd w:val="clear" w:color="auto" w:fill="FFFFFF"/>
            <w:noWrap/>
            <w:tcMar>
              <w:top w:w="15" w:type="dxa"/>
              <w:left w:w="0" w:type="dxa"/>
              <w:bottom w:w="0" w:type="dxa"/>
              <w:right w:w="15" w:type="dxa"/>
            </w:tcMar>
            <w:vAlign w:val="center"/>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r>
      <w:tr w:rsidR="00EC499D" w:rsidRPr="00F47F88" w:rsidTr="00B2030D">
        <w:trPr>
          <w:jc w:val="center"/>
        </w:trPr>
        <w:tc>
          <w:tcPr>
            <w:tcW w:w="2517" w:type="pct"/>
            <w:shd w:val="clear" w:color="auto" w:fill="CFF0FC"/>
            <w:tcMar>
              <w:top w:w="15" w:type="dxa"/>
              <w:left w:w="0" w:type="dxa"/>
              <w:bottom w:w="0" w:type="dxa"/>
              <w:right w:w="15" w:type="dxa"/>
            </w:tcMar>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Asia and Other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bottom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bottom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jc w:val="right"/>
              <w:rPr>
                <w:rFonts w:ascii="Times" w:eastAsia="Times New Roman" w:hAnsi="Times" w:cs="Times New Roman"/>
                <w:sz w:val="24"/>
                <w:szCs w:val="24"/>
              </w:rPr>
            </w:pPr>
            <w:r w:rsidRPr="00F47F88">
              <w:rPr>
                <w:rFonts w:ascii="Times" w:eastAsia="Times New Roman" w:hAnsi="Times" w:cs="Times New Roman"/>
                <w:sz w:val="24"/>
                <w:szCs w:val="24"/>
              </w:rPr>
              <w:t xml:space="preserve">18,542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bottom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bottom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jc w:val="right"/>
              <w:rPr>
                <w:rFonts w:ascii="Times" w:eastAsia="Times New Roman" w:hAnsi="Times" w:cs="Times New Roman"/>
                <w:sz w:val="24"/>
                <w:szCs w:val="24"/>
              </w:rPr>
            </w:pPr>
            <w:r w:rsidRPr="00F47F88">
              <w:rPr>
                <w:rFonts w:ascii="Times" w:eastAsia="Times New Roman" w:hAnsi="Times" w:cs="Times New Roman"/>
                <w:sz w:val="24"/>
                <w:szCs w:val="24"/>
              </w:rPr>
              <w:t xml:space="preserve">17,037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bottom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bottom w:val="single" w:sz="6" w:space="0" w:color="000000"/>
            </w:tcBorders>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jc w:val="right"/>
              <w:rPr>
                <w:rFonts w:ascii="Times" w:eastAsia="Times New Roman" w:hAnsi="Times" w:cs="Times New Roman"/>
                <w:sz w:val="24"/>
                <w:szCs w:val="24"/>
              </w:rPr>
            </w:pPr>
            <w:r w:rsidRPr="00F47F88">
              <w:rPr>
                <w:rFonts w:ascii="Times" w:eastAsia="Times New Roman" w:hAnsi="Times" w:cs="Times New Roman"/>
                <w:sz w:val="24"/>
                <w:szCs w:val="24"/>
              </w:rPr>
              <w:t xml:space="preserve">1,505 </w:t>
            </w:r>
          </w:p>
        </w:tc>
        <w:tc>
          <w:tcPr>
            <w:tcW w:w="50" w:type="pct"/>
            <w:shd w:val="clear" w:color="auto" w:fill="CFF0FC"/>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CFF0FC"/>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CFF0FC"/>
            <w:noWrap/>
            <w:tcMar>
              <w:top w:w="15" w:type="dxa"/>
              <w:left w:w="0" w:type="dxa"/>
              <w:bottom w:w="0" w:type="dxa"/>
              <w:right w:w="15" w:type="dxa"/>
            </w:tcMar>
            <w:vAlign w:val="center"/>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CFF0FC"/>
            <w:noWrap/>
            <w:tcMar>
              <w:top w:w="15" w:type="dxa"/>
              <w:left w:w="0" w:type="dxa"/>
              <w:bottom w:w="0" w:type="dxa"/>
              <w:right w:w="15" w:type="dxa"/>
            </w:tcMar>
            <w:vAlign w:val="center"/>
            <w:hideMark/>
          </w:tcPr>
          <w:p w:rsidR="00EC499D" w:rsidRPr="00F47F88" w:rsidRDefault="00EC499D" w:rsidP="00B2030D">
            <w:pPr>
              <w:spacing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9 </w:t>
            </w:r>
          </w:p>
        </w:tc>
        <w:tc>
          <w:tcPr>
            <w:tcW w:w="50" w:type="pct"/>
            <w:shd w:val="clear" w:color="auto" w:fill="CFF0FC"/>
            <w:noWrap/>
            <w:tcMar>
              <w:top w:w="15" w:type="dxa"/>
              <w:left w:w="0" w:type="dxa"/>
              <w:bottom w:w="0" w:type="dxa"/>
              <w:right w:w="15" w:type="dxa"/>
            </w:tcMar>
            <w:vAlign w:val="center"/>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r>
      <w:tr w:rsidR="00EC499D" w:rsidRPr="00F47F88" w:rsidTr="00B2030D">
        <w:trPr>
          <w:jc w:val="center"/>
        </w:trPr>
        <w:tc>
          <w:tcPr>
            <w:tcW w:w="2517" w:type="pct"/>
            <w:shd w:val="clear" w:color="auto" w:fill="FFFFFF"/>
            <w:tcMar>
              <w:top w:w="15" w:type="dxa"/>
              <w:left w:w="0" w:type="dxa"/>
              <w:bottom w:w="0" w:type="dxa"/>
              <w:right w:w="15" w:type="dxa"/>
            </w:tcMar>
            <w:hideMark/>
          </w:tcPr>
          <w:p w:rsidR="00EC499D" w:rsidRPr="00F47F88" w:rsidRDefault="00EC499D" w:rsidP="00B2030D">
            <w:pPr>
              <w:spacing w:line="240" w:lineRule="auto"/>
              <w:ind w:left="274"/>
              <w:rPr>
                <w:rFonts w:ascii="Times" w:eastAsia="Times New Roman" w:hAnsi="Times" w:cs="Times New Roman"/>
                <w:sz w:val="24"/>
                <w:szCs w:val="24"/>
              </w:rPr>
            </w:pPr>
            <w:r w:rsidRPr="00F47F88">
              <w:rPr>
                <w:rFonts w:ascii="Times" w:eastAsia="Times New Roman" w:hAnsi="Times" w:cs="Times New Roman"/>
                <w:sz w:val="24"/>
                <w:szCs w:val="24"/>
              </w:rPr>
              <w:t xml:space="preserve">Total Polymers Segment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top w:val="single" w:sz="6" w:space="0" w:color="000000"/>
              <w:bottom w:val="double" w:sz="6" w:space="0" w:color="000000"/>
            </w:tcBorders>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top w:val="single" w:sz="6" w:space="0" w:color="000000"/>
              <w:bottom w:val="double" w:sz="6" w:space="0" w:color="000000"/>
            </w:tcBorders>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jc w:val="right"/>
              <w:rPr>
                <w:rFonts w:ascii="Times" w:eastAsia="Times New Roman" w:hAnsi="Times" w:cs="Times New Roman"/>
                <w:sz w:val="24"/>
                <w:szCs w:val="24"/>
              </w:rPr>
            </w:pPr>
            <w:r w:rsidRPr="00F47F88">
              <w:rPr>
                <w:rFonts w:ascii="Times" w:eastAsia="Times New Roman" w:hAnsi="Times" w:cs="Times New Roman"/>
                <w:sz w:val="24"/>
                <w:szCs w:val="24"/>
              </w:rPr>
              <w:t xml:space="preserve">382,540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top w:val="single" w:sz="6" w:space="0" w:color="000000"/>
              <w:bottom w:val="double" w:sz="6" w:space="0" w:color="000000"/>
            </w:tcBorders>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top w:val="single" w:sz="6" w:space="0" w:color="000000"/>
              <w:bottom w:val="double" w:sz="6" w:space="0" w:color="000000"/>
            </w:tcBorders>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jc w:val="right"/>
              <w:rPr>
                <w:rFonts w:ascii="Times" w:eastAsia="Times New Roman" w:hAnsi="Times" w:cs="Times New Roman"/>
                <w:sz w:val="24"/>
                <w:szCs w:val="24"/>
              </w:rPr>
            </w:pPr>
            <w:r w:rsidRPr="00F47F88">
              <w:rPr>
                <w:rFonts w:ascii="Times" w:eastAsia="Times New Roman" w:hAnsi="Times" w:cs="Times New Roman"/>
                <w:sz w:val="24"/>
                <w:szCs w:val="24"/>
              </w:rPr>
              <w:t xml:space="preserve">377,703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tcBorders>
              <w:top w:val="single" w:sz="6" w:space="0" w:color="000000"/>
              <w:bottom w:val="double" w:sz="6" w:space="0" w:color="000000"/>
            </w:tcBorders>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tcBorders>
              <w:top w:val="single" w:sz="6" w:space="0" w:color="000000"/>
              <w:bottom w:val="double" w:sz="6" w:space="0" w:color="000000"/>
            </w:tcBorders>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jc w:val="right"/>
              <w:rPr>
                <w:rFonts w:ascii="Times" w:eastAsia="Times New Roman" w:hAnsi="Times" w:cs="Times New Roman"/>
                <w:sz w:val="24"/>
                <w:szCs w:val="24"/>
              </w:rPr>
            </w:pPr>
            <w:r w:rsidRPr="00F47F88">
              <w:rPr>
                <w:rFonts w:ascii="Times" w:eastAsia="Times New Roman" w:hAnsi="Times" w:cs="Times New Roman"/>
                <w:sz w:val="24"/>
                <w:szCs w:val="24"/>
              </w:rPr>
              <w:t xml:space="preserve">4,837 </w:t>
            </w:r>
          </w:p>
        </w:tc>
        <w:tc>
          <w:tcPr>
            <w:tcW w:w="50" w:type="pct"/>
            <w:shd w:val="clear" w:color="auto" w:fill="FFFFFF"/>
            <w:noWrap/>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61" w:type="pct"/>
            <w:shd w:val="clear" w:color="auto" w:fill="FFFFFF"/>
            <w:tcMar>
              <w:top w:w="15" w:type="dxa"/>
              <w:left w:w="0" w:type="dxa"/>
              <w:bottom w:w="0" w:type="dxa"/>
              <w:right w:w="15" w:type="dxa"/>
            </w:tcMar>
            <w:vAlign w:val="bottom"/>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50" w:type="pct"/>
            <w:shd w:val="clear" w:color="auto" w:fill="FFFFFF"/>
            <w:noWrap/>
            <w:tcMar>
              <w:top w:w="15" w:type="dxa"/>
              <w:left w:w="0" w:type="dxa"/>
              <w:bottom w:w="0" w:type="dxa"/>
              <w:right w:w="15" w:type="dxa"/>
            </w:tcMar>
            <w:vAlign w:val="center"/>
            <w:hideMark/>
          </w:tcPr>
          <w:p w:rsidR="00EC499D" w:rsidRPr="00F47F88" w:rsidRDefault="00EC499D" w:rsidP="00B2030D">
            <w:pPr>
              <w:spacing w:line="240" w:lineRule="auto"/>
              <w:rPr>
                <w:rFonts w:ascii="Times" w:eastAsia="Times New Roman" w:hAnsi="Times" w:cs="Times New Roman"/>
                <w:sz w:val="24"/>
                <w:szCs w:val="24"/>
              </w:rPr>
            </w:pPr>
            <w:r w:rsidRPr="00F47F88">
              <w:rPr>
                <w:rFonts w:ascii="Times" w:eastAsia="Times New Roman" w:hAnsi="Times" w:cs="Times New Roman"/>
                <w:sz w:val="24"/>
                <w:szCs w:val="24"/>
              </w:rPr>
              <w:t xml:space="preserve">  </w:t>
            </w:r>
          </w:p>
        </w:tc>
        <w:tc>
          <w:tcPr>
            <w:tcW w:w="459" w:type="pct"/>
            <w:shd w:val="clear" w:color="auto" w:fill="FFFFFF"/>
            <w:noWrap/>
            <w:tcMar>
              <w:top w:w="15" w:type="dxa"/>
              <w:left w:w="0" w:type="dxa"/>
              <w:bottom w:w="0" w:type="dxa"/>
              <w:right w:w="15" w:type="dxa"/>
            </w:tcMar>
            <w:vAlign w:val="center"/>
            <w:hideMark/>
          </w:tcPr>
          <w:p w:rsidR="00EC499D" w:rsidRPr="00F47F88" w:rsidRDefault="00EC499D" w:rsidP="00B2030D">
            <w:pPr>
              <w:spacing w:line="240" w:lineRule="auto"/>
              <w:jc w:val="center"/>
              <w:rPr>
                <w:rFonts w:ascii="Times" w:eastAsia="Times New Roman" w:hAnsi="Times" w:cs="Times New Roman"/>
                <w:sz w:val="24"/>
                <w:szCs w:val="24"/>
              </w:rPr>
            </w:pPr>
            <w:r w:rsidRPr="00F47F88">
              <w:rPr>
                <w:rFonts w:ascii="Times" w:eastAsia="Times New Roman" w:hAnsi="Times" w:cs="Times New Roman"/>
                <w:sz w:val="24"/>
                <w:szCs w:val="24"/>
              </w:rPr>
              <w:t xml:space="preserve">1 </w:t>
            </w:r>
          </w:p>
        </w:tc>
        <w:tc>
          <w:tcPr>
            <w:tcW w:w="0" w:type="auto"/>
            <w:vAlign w:val="center"/>
            <w:hideMark/>
          </w:tcPr>
          <w:p w:rsidR="00EC499D" w:rsidRPr="00F47F88" w:rsidRDefault="00EC499D" w:rsidP="00B2030D">
            <w:pPr>
              <w:spacing w:line="240" w:lineRule="auto"/>
              <w:rPr>
                <w:rFonts w:ascii="Times" w:eastAsia="Times New Roman" w:hAnsi="Times" w:cs="Times New Roman"/>
                <w:sz w:val="24"/>
                <w:szCs w:val="24"/>
              </w:rPr>
            </w:pPr>
          </w:p>
        </w:tc>
      </w:tr>
    </w:tbl>
    <w:p w:rsidR="00EC499D" w:rsidRPr="00F47F88" w:rsidRDefault="00EC499D" w:rsidP="00EC499D">
      <w:pPr>
        <w:spacing w:after="0" w:line="480" w:lineRule="auto"/>
        <w:rPr>
          <w:rFonts w:ascii="Times" w:hAnsi="Times"/>
          <w:sz w:val="24"/>
          <w:szCs w:val="24"/>
        </w:rPr>
      </w:pPr>
    </w:p>
    <w:p w:rsidR="00EC499D" w:rsidRPr="00E71C10" w:rsidRDefault="00EC499D" w:rsidP="00EC499D">
      <w:pPr>
        <w:spacing w:after="0" w:line="480" w:lineRule="auto"/>
        <w:rPr>
          <w:rFonts w:ascii="Times" w:hAnsi="Times"/>
          <w:sz w:val="24"/>
          <w:szCs w:val="24"/>
          <w:u w:val="single"/>
        </w:rPr>
      </w:pPr>
      <w:r w:rsidRPr="00E71C10">
        <w:rPr>
          <w:rFonts w:ascii="Times" w:hAnsi="Times"/>
          <w:sz w:val="24"/>
          <w:szCs w:val="24"/>
          <w:u w:val="single"/>
        </w:rPr>
        <w:t xml:space="preserve">Specialty Product Overview: </w:t>
      </w:r>
    </w:p>
    <w:p w:rsidR="00EC499D" w:rsidRPr="00F47F88" w:rsidRDefault="00EC499D" w:rsidP="00EC499D">
      <w:pPr>
        <w:spacing w:after="0" w:line="480" w:lineRule="auto"/>
        <w:rPr>
          <w:rFonts w:ascii="Times" w:hAnsi="Times"/>
          <w:sz w:val="24"/>
          <w:szCs w:val="24"/>
        </w:rPr>
      </w:pPr>
      <w:r>
        <w:rPr>
          <w:rFonts w:ascii="Times" w:hAnsi="Times"/>
          <w:sz w:val="24"/>
          <w:szCs w:val="24"/>
        </w:rPr>
        <w:tab/>
      </w:r>
      <w:r w:rsidRPr="00F47F88">
        <w:rPr>
          <w:rFonts w:ascii="Times" w:hAnsi="Times"/>
          <w:sz w:val="24"/>
          <w:szCs w:val="24"/>
        </w:rPr>
        <w:t xml:space="preserve">“Specialty products, which accounted for five percent of consolidated net sales for the first half of 2016, include flavors, emulsifiers and solubilizes used in food, flavoring, nutritional supplement and pharmaceutical applications.”  </w:t>
      </w:r>
    </w:p>
    <w:p w:rsidR="00EC499D" w:rsidRDefault="00EC499D" w:rsidP="00EC499D">
      <w:pPr>
        <w:spacing w:after="0" w:line="480" w:lineRule="auto"/>
        <w:rPr>
          <w:rFonts w:ascii="Times" w:hAnsi="Times"/>
          <w:b/>
          <w:sz w:val="24"/>
          <w:szCs w:val="24"/>
        </w:rPr>
      </w:pPr>
    </w:p>
    <w:p w:rsidR="00EC499D" w:rsidRDefault="00EC499D" w:rsidP="00EC499D">
      <w:pPr>
        <w:spacing w:after="0" w:line="480" w:lineRule="auto"/>
        <w:rPr>
          <w:rFonts w:ascii="Times" w:hAnsi="Times"/>
          <w:b/>
          <w:sz w:val="24"/>
          <w:szCs w:val="24"/>
        </w:rPr>
      </w:pPr>
    </w:p>
    <w:p w:rsidR="00EC499D" w:rsidRPr="00F47F88" w:rsidRDefault="00EC499D" w:rsidP="00EC499D">
      <w:pPr>
        <w:spacing w:after="0" w:line="480" w:lineRule="auto"/>
        <w:rPr>
          <w:rFonts w:ascii="Times" w:hAnsi="Times"/>
          <w:b/>
          <w:sz w:val="24"/>
          <w:szCs w:val="24"/>
        </w:rPr>
      </w:pPr>
      <w:r w:rsidRPr="00F47F88">
        <w:rPr>
          <w:rFonts w:ascii="Times" w:hAnsi="Times"/>
          <w:b/>
          <w:sz w:val="24"/>
          <w:szCs w:val="24"/>
        </w:rPr>
        <w:t>Valuation</w:t>
      </w:r>
      <w:r w:rsidRPr="00F47F88">
        <w:rPr>
          <w:rFonts w:ascii="Times" w:hAnsi="Times"/>
          <w:b/>
          <w:sz w:val="24"/>
          <w:szCs w:val="24"/>
        </w:rPr>
        <w:tab/>
      </w:r>
    </w:p>
    <w:p w:rsidR="00EC499D" w:rsidRPr="00E324E1" w:rsidRDefault="00EC499D" w:rsidP="00EC499D">
      <w:pPr>
        <w:spacing w:after="0" w:line="480" w:lineRule="auto"/>
        <w:rPr>
          <w:rFonts w:ascii="Times" w:hAnsi="Times"/>
          <w:sz w:val="24"/>
          <w:szCs w:val="24"/>
          <w:u w:val="single"/>
        </w:rPr>
      </w:pPr>
      <w:r w:rsidRPr="00E324E1">
        <w:rPr>
          <w:rFonts w:ascii="Times" w:hAnsi="Times"/>
          <w:sz w:val="24"/>
          <w:szCs w:val="24"/>
          <w:u w:val="single"/>
        </w:rPr>
        <w:t>Absolute Valuation:</w:t>
      </w:r>
    </w:p>
    <w:p w:rsidR="00EC499D" w:rsidRPr="00F47F88" w:rsidRDefault="00EC499D" w:rsidP="00EC499D">
      <w:pPr>
        <w:pStyle w:val="ListParagraph"/>
        <w:numPr>
          <w:ilvl w:val="0"/>
          <w:numId w:val="2"/>
        </w:numPr>
        <w:spacing w:after="0" w:line="480" w:lineRule="auto"/>
        <w:rPr>
          <w:rFonts w:ascii="Times" w:hAnsi="Times"/>
          <w:sz w:val="24"/>
          <w:szCs w:val="24"/>
        </w:rPr>
      </w:pPr>
      <w:r w:rsidRPr="00F47F88">
        <w:rPr>
          <w:rFonts w:ascii="Times" w:hAnsi="Times"/>
          <w:sz w:val="24"/>
          <w:szCs w:val="24"/>
        </w:rPr>
        <w:t>Dividend Discount Model:</w:t>
      </w:r>
    </w:p>
    <w:tbl>
      <w:tblPr>
        <w:tblStyle w:val="TableGrid"/>
        <w:tblW w:w="0" w:type="auto"/>
        <w:tblLayout w:type="fixed"/>
        <w:tblLook w:val="04A0" w:firstRow="1" w:lastRow="0" w:firstColumn="1" w:lastColumn="0" w:noHBand="0" w:noVBand="1"/>
      </w:tblPr>
      <w:tblGrid>
        <w:gridCol w:w="1728"/>
        <w:gridCol w:w="2313"/>
      </w:tblGrid>
      <w:tr w:rsidR="00EC499D" w:rsidRPr="00F47F88" w:rsidTr="00B2030D">
        <w:trPr>
          <w:trHeight w:val="300"/>
        </w:trPr>
        <w:tc>
          <w:tcPr>
            <w:tcW w:w="1728" w:type="dxa"/>
            <w:noWrap/>
            <w:hideMark/>
          </w:tcPr>
          <w:p w:rsidR="00EC499D" w:rsidRPr="00F47F88" w:rsidRDefault="00EC499D" w:rsidP="00B2030D">
            <w:pPr>
              <w:spacing w:line="480" w:lineRule="auto"/>
              <w:rPr>
                <w:rFonts w:ascii="Times" w:hAnsi="Times"/>
                <w:sz w:val="24"/>
                <w:szCs w:val="24"/>
              </w:rPr>
            </w:pPr>
            <w:r w:rsidRPr="00F47F88">
              <w:rPr>
                <w:rFonts w:ascii="Times" w:hAnsi="Times"/>
                <w:sz w:val="24"/>
                <w:szCs w:val="24"/>
              </w:rPr>
              <w:t>0.05525</w:t>
            </w:r>
          </w:p>
        </w:tc>
        <w:tc>
          <w:tcPr>
            <w:tcW w:w="2313" w:type="dxa"/>
            <w:noWrap/>
            <w:hideMark/>
          </w:tcPr>
          <w:p w:rsidR="00EC499D" w:rsidRPr="00F47F88" w:rsidRDefault="00EC499D" w:rsidP="00B2030D">
            <w:pPr>
              <w:spacing w:line="480" w:lineRule="auto"/>
              <w:rPr>
                <w:rFonts w:ascii="Times" w:hAnsi="Times"/>
                <w:sz w:val="24"/>
                <w:szCs w:val="24"/>
              </w:rPr>
            </w:pPr>
            <w:r w:rsidRPr="00F47F88">
              <w:rPr>
                <w:rFonts w:ascii="Times" w:hAnsi="Times"/>
                <w:sz w:val="24"/>
                <w:szCs w:val="24"/>
              </w:rPr>
              <w:t>Geometric Average</w:t>
            </w:r>
          </w:p>
        </w:tc>
      </w:tr>
      <w:tr w:rsidR="00EC499D" w:rsidRPr="00F47F88" w:rsidTr="00B2030D">
        <w:trPr>
          <w:trHeight w:val="300"/>
        </w:trPr>
        <w:tc>
          <w:tcPr>
            <w:tcW w:w="1728" w:type="dxa"/>
            <w:noWrap/>
            <w:hideMark/>
          </w:tcPr>
          <w:p w:rsidR="00EC499D" w:rsidRPr="00F47F88" w:rsidRDefault="00EC499D" w:rsidP="00B2030D">
            <w:pPr>
              <w:spacing w:line="480" w:lineRule="auto"/>
              <w:rPr>
                <w:rFonts w:ascii="Times" w:hAnsi="Times"/>
                <w:sz w:val="24"/>
                <w:szCs w:val="24"/>
              </w:rPr>
            </w:pPr>
            <w:r w:rsidRPr="00F47F88">
              <w:rPr>
                <w:rFonts w:ascii="Times" w:hAnsi="Times"/>
                <w:sz w:val="24"/>
                <w:szCs w:val="24"/>
              </w:rPr>
              <w:lastRenderedPageBreak/>
              <w:t>1.000154</w:t>
            </w:r>
          </w:p>
        </w:tc>
        <w:tc>
          <w:tcPr>
            <w:tcW w:w="2313" w:type="dxa"/>
            <w:noWrap/>
            <w:hideMark/>
          </w:tcPr>
          <w:p w:rsidR="00EC499D" w:rsidRPr="00F47F88" w:rsidRDefault="00EC499D" w:rsidP="00B2030D">
            <w:pPr>
              <w:spacing w:line="480" w:lineRule="auto"/>
              <w:rPr>
                <w:rFonts w:ascii="Times" w:hAnsi="Times"/>
                <w:sz w:val="24"/>
                <w:szCs w:val="24"/>
              </w:rPr>
            </w:pPr>
            <w:r w:rsidRPr="00F47F88">
              <w:rPr>
                <w:rFonts w:ascii="Times" w:hAnsi="Times"/>
                <w:sz w:val="24"/>
                <w:szCs w:val="24"/>
              </w:rPr>
              <w:t>Logest</w:t>
            </w:r>
          </w:p>
        </w:tc>
      </w:tr>
      <w:tr w:rsidR="00EC499D" w:rsidRPr="00F47F88" w:rsidTr="00B2030D">
        <w:trPr>
          <w:trHeight w:val="300"/>
        </w:trPr>
        <w:tc>
          <w:tcPr>
            <w:tcW w:w="1728" w:type="dxa"/>
            <w:noWrap/>
            <w:hideMark/>
          </w:tcPr>
          <w:p w:rsidR="00EC499D" w:rsidRPr="00F47F88" w:rsidRDefault="00EC499D" w:rsidP="00B2030D">
            <w:pPr>
              <w:spacing w:line="480" w:lineRule="auto"/>
              <w:rPr>
                <w:rFonts w:ascii="Times" w:hAnsi="Times"/>
                <w:sz w:val="24"/>
                <w:szCs w:val="24"/>
              </w:rPr>
            </w:pPr>
            <w:r w:rsidRPr="00F47F88">
              <w:rPr>
                <w:rFonts w:ascii="Times" w:hAnsi="Times"/>
                <w:sz w:val="24"/>
                <w:szCs w:val="24"/>
              </w:rPr>
              <w:t>0.057715</w:t>
            </w:r>
          </w:p>
        </w:tc>
        <w:tc>
          <w:tcPr>
            <w:tcW w:w="2313" w:type="dxa"/>
            <w:noWrap/>
            <w:hideMark/>
          </w:tcPr>
          <w:p w:rsidR="00EC499D" w:rsidRPr="00F47F88" w:rsidRDefault="00EC499D" w:rsidP="00B2030D">
            <w:pPr>
              <w:spacing w:line="480" w:lineRule="auto"/>
              <w:rPr>
                <w:rFonts w:ascii="Times" w:hAnsi="Times"/>
                <w:sz w:val="24"/>
                <w:szCs w:val="24"/>
              </w:rPr>
            </w:pPr>
            <w:r w:rsidRPr="00F47F88">
              <w:rPr>
                <w:rFonts w:ascii="Times" w:hAnsi="Times"/>
                <w:sz w:val="24"/>
                <w:szCs w:val="24"/>
              </w:rPr>
              <w:t>Annualized Geometric Average</w:t>
            </w:r>
          </w:p>
        </w:tc>
      </w:tr>
      <w:tr w:rsidR="00EC499D" w:rsidRPr="00F47F88" w:rsidTr="00B2030D">
        <w:trPr>
          <w:trHeight w:val="300"/>
        </w:trPr>
        <w:tc>
          <w:tcPr>
            <w:tcW w:w="1728" w:type="dxa"/>
            <w:noWrap/>
            <w:hideMark/>
          </w:tcPr>
          <w:p w:rsidR="00EC499D" w:rsidRPr="00F47F88" w:rsidRDefault="00EC499D" w:rsidP="00B2030D">
            <w:pPr>
              <w:spacing w:line="480" w:lineRule="auto"/>
              <w:rPr>
                <w:rFonts w:ascii="Times" w:hAnsi="Times"/>
                <w:sz w:val="24"/>
                <w:szCs w:val="24"/>
              </w:rPr>
            </w:pPr>
            <w:r w:rsidRPr="00F47F88">
              <w:rPr>
                <w:rFonts w:ascii="Times" w:hAnsi="Times"/>
                <w:sz w:val="24"/>
                <w:szCs w:val="24"/>
              </w:rPr>
              <w:t>D1</w:t>
            </w:r>
          </w:p>
        </w:tc>
        <w:tc>
          <w:tcPr>
            <w:tcW w:w="2313" w:type="dxa"/>
            <w:noWrap/>
            <w:hideMark/>
          </w:tcPr>
          <w:p w:rsidR="00EC499D" w:rsidRPr="00F47F88" w:rsidRDefault="00EC499D" w:rsidP="00B2030D">
            <w:pPr>
              <w:spacing w:line="480" w:lineRule="auto"/>
              <w:rPr>
                <w:rFonts w:ascii="Times" w:hAnsi="Times"/>
                <w:sz w:val="24"/>
                <w:szCs w:val="24"/>
              </w:rPr>
            </w:pPr>
            <w:r w:rsidRPr="00F47F88">
              <w:rPr>
                <w:rFonts w:ascii="Times" w:hAnsi="Times"/>
                <w:sz w:val="24"/>
                <w:szCs w:val="24"/>
              </w:rPr>
              <w:t xml:space="preserve"> $0.82 </w:t>
            </w:r>
          </w:p>
        </w:tc>
      </w:tr>
      <w:tr w:rsidR="00EC499D" w:rsidRPr="00F47F88" w:rsidTr="00B2030D">
        <w:trPr>
          <w:trHeight w:val="300"/>
        </w:trPr>
        <w:tc>
          <w:tcPr>
            <w:tcW w:w="1728" w:type="dxa"/>
            <w:noWrap/>
            <w:hideMark/>
          </w:tcPr>
          <w:p w:rsidR="00EC499D" w:rsidRPr="00F47F88" w:rsidRDefault="00EC499D" w:rsidP="00B2030D">
            <w:pPr>
              <w:spacing w:line="480" w:lineRule="auto"/>
              <w:rPr>
                <w:rFonts w:ascii="Times" w:hAnsi="Times"/>
                <w:sz w:val="24"/>
                <w:szCs w:val="24"/>
              </w:rPr>
            </w:pPr>
            <w:r w:rsidRPr="00F47F88">
              <w:rPr>
                <w:rFonts w:ascii="Times" w:hAnsi="Times"/>
                <w:sz w:val="24"/>
                <w:szCs w:val="24"/>
              </w:rPr>
              <w:t>P0</w:t>
            </w:r>
          </w:p>
        </w:tc>
        <w:tc>
          <w:tcPr>
            <w:tcW w:w="2313" w:type="dxa"/>
            <w:noWrap/>
            <w:hideMark/>
          </w:tcPr>
          <w:p w:rsidR="00EC499D" w:rsidRPr="00F47F88" w:rsidRDefault="00EC499D" w:rsidP="00B2030D">
            <w:pPr>
              <w:spacing w:line="480" w:lineRule="auto"/>
              <w:rPr>
                <w:rFonts w:ascii="Times" w:hAnsi="Times"/>
                <w:sz w:val="24"/>
                <w:szCs w:val="24"/>
              </w:rPr>
            </w:pPr>
            <w:r w:rsidRPr="00F47F88">
              <w:rPr>
                <w:rFonts w:ascii="Times" w:hAnsi="Times"/>
                <w:sz w:val="24"/>
                <w:szCs w:val="24"/>
              </w:rPr>
              <w:t xml:space="preserve"> $80.86 </w:t>
            </w:r>
          </w:p>
        </w:tc>
      </w:tr>
      <w:tr w:rsidR="00EC499D" w:rsidRPr="00F47F88" w:rsidTr="00B2030D">
        <w:trPr>
          <w:trHeight w:val="300"/>
        </w:trPr>
        <w:tc>
          <w:tcPr>
            <w:tcW w:w="1728" w:type="dxa"/>
            <w:noWrap/>
            <w:hideMark/>
          </w:tcPr>
          <w:p w:rsidR="00EC499D" w:rsidRPr="00F47F88" w:rsidRDefault="00EC499D" w:rsidP="00B2030D">
            <w:pPr>
              <w:spacing w:line="480" w:lineRule="auto"/>
              <w:rPr>
                <w:rFonts w:ascii="Times" w:hAnsi="Times"/>
                <w:sz w:val="24"/>
                <w:szCs w:val="24"/>
              </w:rPr>
            </w:pPr>
            <w:r w:rsidRPr="00F47F88">
              <w:rPr>
                <w:rFonts w:ascii="Times" w:hAnsi="Times"/>
                <w:sz w:val="24"/>
                <w:szCs w:val="24"/>
              </w:rPr>
              <w:t>r</w:t>
            </w:r>
          </w:p>
        </w:tc>
        <w:tc>
          <w:tcPr>
            <w:tcW w:w="2313" w:type="dxa"/>
            <w:noWrap/>
            <w:hideMark/>
          </w:tcPr>
          <w:p w:rsidR="00EC499D" w:rsidRPr="00F47F88" w:rsidRDefault="00EC499D" w:rsidP="00B2030D">
            <w:pPr>
              <w:spacing w:line="480" w:lineRule="auto"/>
              <w:rPr>
                <w:rFonts w:ascii="Times" w:hAnsi="Times"/>
                <w:sz w:val="24"/>
                <w:szCs w:val="24"/>
              </w:rPr>
            </w:pPr>
            <w:r w:rsidRPr="00F47F88">
              <w:rPr>
                <w:rFonts w:ascii="Times" w:hAnsi="Times"/>
                <w:sz w:val="24"/>
                <w:szCs w:val="24"/>
              </w:rPr>
              <w:t>6.79%</w:t>
            </w:r>
          </w:p>
        </w:tc>
      </w:tr>
      <w:tr w:rsidR="00EC499D" w:rsidRPr="00F47F88" w:rsidTr="00B2030D">
        <w:trPr>
          <w:trHeight w:val="90"/>
        </w:trPr>
        <w:tc>
          <w:tcPr>
            <w:tcW w:w="1728" w:type="dxa"/>
            <w:noWrap/>
            <w:hideMark/>
          </w:tcPr>
          <w:p w:rsidR="00EC499D" w:rsidRPr="00F47F88" w:rsidRDefault="00EC499D" w:rsidP="00B2030D">
            <w:pPr>
              <w:spacing w:line="480" w:lineRule="auto"/>
              <w:rPr>
                <w:rFonts w:ascii="Times" w:hAnsi="Times"/>
                <w:sz w:val="24"/>
                <w:szCs w:val="24"/>
              </w:rPr>
            </w:pPr>
            <w:r w:rsidRPr="00F47F88">
              <w:rPr>
                <w:rFonts w:ascii="Times" w:hAnsi="Times"/>
                <w:sz w:val="24"/>
                <w:szCs w:val="24"/>
              </w:rPr>
              <w:t>Div. Yield</w:t>
            </w:r>
          </w:p>
        </w:tc>
        <w:tc>
          <w:tcPr>
            <w:tcW w:w="2313" w:type="dxa"/>
            <w:noWrap/>
            <w:hideMark/>
          </w:tcPr>
          <w:p w:rsidR="00EC499D" w:rsidRPr="00F47F88" w:rsidRDefault="00EC499D" w:rsidP="00B2030D">
            <w:pPr>
              <w:spacing w:line="480" w:lineRule="auto"/>
              <w:rPr>
                <w:rFonts w:ascii="Times" w:hAnsi="Times"/>
                <w:sz w:val="24"/>
                <w:szCs w:val="24"/>
              </w:rPr>
            </w:pPr>
            <w:r w:rsidRPr="00F47F88">
              <w:rPr>
                <w:rFonts w:ascii="Times" w:hAnsi="Times"/>
                <w:sz w:val="24"/>
                <w:szCs w:val="24"/>
              </w:rPr>
              <w:t>1.014%</w:t>
            </w:r>
          </w:p>
        </w:tc>
      </w:tr>
    </w:tbl>
    <w:p w:rsidR="00EC499D" w:rsidRPr="00F47F88" w:rsidRDefault="00EC499D" w:rsidP="00EC499D">
      <w:pPr>
        <w:spacing w:after="0" w:line="480" w:lineRule="auto"/>
        <w:rPr>
          <w:rFonts w:ascii="Times" w:hAnsi="Times"/>
          <w:sz w:val="24"/>
          <w:szCs w:val="24"/>
        </w:rPr>
      </w:pPr>
    </w:p>
    <w:p w:rsidR="00EC499D" w:rsidRPr="00F47F88" w:rsidRDefault="00EC499D" w:rsidP="00EC499D">
      <w:pPr>
        <w:spacing w:after="0" w:line="480" w:lineRule="auto"/>
        <w:rPr>
          <w:rFonts w:ascii="Times" w:hAnsi="Times"/>
          <w:sz w:val="24"/>
          <w:szCs w:val="24"/>
        </w:rPr>
      </w:pPr>
      <w:r w:rsidRPr="00F47F88">
        <w:rPr>
          <w:rFonts w:ascii="Times" w:hAnsi="Times"/>
          <w:sz w:val="24"/>
          <w:szCs w:val="24"/>
        </w:rPr>
        <w:t xml:space="preserve">With a price at time (0) of $80.86 as of December 4, 2016 and a future dividend payment of $0.82 per share, an investor will receive a rate of return of 6.79% minimum. </w:t>
      </w:r>
    </w:p>
    <w:p w:rsidR="00EC499D" w:rsidRDefault="00EC499D" w:rsidP="00EC499D">
      <w:pPr>
        <w:spacing w:after="0"/>
        <w:rPr>
          <w:rFonts w:ascii="Times" w:hAnsi="Times"/>
          <w:sz w:val="24"/>
          <w:szCs w:val="24"/>
          <w:u w:val="single"/>
        </w:rPr>
      </w:pPr>
      <w:r w:rsidRPr="00E324E1">
        <w:rPr>
          <w:rFonts w:ascii="Times" w:hAnsi="Times"/>
          <w:sz w:val="24"/>
          <w:szCs w:val="24"/>
          <w:u w:val="single"/>
        </w:rPr>
        <w:t>Relative Valuation:</w:t>
      </w:r>
    </w:p>
    <w:p w:rsidR="00EC499D" w:rsidRPr="00E324E1" w:rsidRDefault="00EC499D" w:rsidP="00EC499D">
      <w:pPr>
        <w:spacing w:after="0"/>
        <w:rPr>
          <w:rFonts w:ascii="Times" w:hAnsi="Times"/>
          <w:sz w:val="24"/>
          <w:szCs w:val="24"/>
          <w:u w:val="single"/>
        </w:rPr>
      </w:pPr>
    </w:p>
    <w:p w:rsidR="00EC499D" w:rsidRPr="00DC4BA5" w:rsidRDefault="00EC499D" w:rsidP="00EC499D">
      <w:pPr>
        <w:rPr>
          <w:rFonts w:ascii="Times" w:hAnsi="Times"/>
          <w:sz w:val="24"/>
          <w:szCs w:val="24"/>
        </w:rPr>
      </w:pPr>
      <w:r w:rsidRPr="00F47F88">
        <w:rPr>
          <w:rFonts w:ascii="Times" w:hAnsi="Times"/>
          <w:noProof/>
          <w:sz w:val="24"/>
          <w:szCs w:val="24"/>
        </w:rPr>
        <w:drawing>
          <wp:inline distT="0" distB="0" distL="0" distR="0" wp14:anchorId="37686038" wp14:editId="3A40235A">
            <wp:extent cx="5372100" cy="2514600"/>
            <wp:effectExtent l="0" t="0" r="127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499D" w:rsidRDefault="00EC499D" w:rsidP="00EC499D">
      <w:pPr>
        <w:spacing w:after="0" w:line="480" w:lineRule="auto"/>
        <w:rPr>
          <w:rFonts w:ascii="Times" w:hAnsi="Times" w:cs="Times New Roman"/>
          <w:b/>
          <w:color w:val="000000"/>
          <w:sz w:val="24"/>
          <w:szCs w:val="24"/>
        </w:rPr>
      </w:pPr>
    </w:p>
    <w:p w:rsidR="00EC499D" w:rsidRPr="00F47F88" w:rsidRDefault="00EC499D" w:rsidP="00EC499D">
      <w:pPr>
        <w:spacing w:after="0" w:line="480" w:lineRule="auto"/>
        <w:rPr>
          <w:rFonts w:ascii="Times" w:hAnsi="Times" w:cs="Times New Roman"/>
          <w:b/>
          <w:color w:val="000000"/>
          <w:sz w:val="24"/>
          <w:szCs w:val="24"/>
        </w:rPr>
      </w:pPr>
      <w:r w:rsidRPr="00F47F88">
        <w:rPr>
          <w:rFonts w:ascii="Times" w:hAnsi="Times" w:cs="Times New Roman"/>
          <w:b/>
          <w:color w:val="000000"/>
          <w:sz w:val="24"/>
          <w:szCs w:val="24"/>
        </w:rPr>
        <w:t>Financial Analysis</w:t>
      </w:r>
    </w:p>
    <w:p w:rsidR="00EC499D" w:rsidRPr="00F47F88" w:rsidRDefault="00EC499D" w:rsidP="00EC499D">
      <w:pPr>
        <w:spacing w:after="0" w:line="480" w:lineRule="auto"/>
        <w:rPr>
          <w:rFonts w:ascii="Times" w:hAnsi="Times" w:cs="Times New Roman"/>
          <w:b/>
          <w:color w:val="000000"/>
          <w:sz w:val="24"/>
          <w:szCs w:val="24"/>
        </w:rPr>
      </w:pPr>
      <w:r w:rsidRPr="00F47F88">
        <w:rPr>
          <w:rFonts w:ascii="Times" w:hAnsi="Times" w:cs="Times New Roman"/>
          <w:b/>
          <w:color w:val="000000"/>
          <w:sz w:val="24"/>
          <w:szCs w:val="24"/>
        </w:rPr>
        <w:tab/>
      </w:r>
      <w:r w:rsidRPr="00F47F88">
        <w:rPr>
          <w:rFonts w:ascii="Times" w:hAnsi="Times" w:cs="Times New Roman"/>
          <w:color w:val="000000"/>
          <w:sz w:val="24"/>
          <w:szCs w:val="24"/>
        </w:rPr>
        <w:t xml:space="preserve">Stepan Company has been around since 1932, leaving for a lot of historical and financial data. Stepan Company is a counter cyclical stock, meaning the price tends to move in the opposite direction to the overall business cycle. If the market rises, then the stock price falls, and if the market falls, the price of the stock </w:t>
      </w:r>
      <w:r w:rsidRPr="00F47F88">
        <w:rPr>
          <w:rFonts w:ascii="Times" w:hAnsi="Times" w:cs="Times New Roman"/>
          <w:color w:val="000000"/>
          <w:sz w:val="24"/>
          <w:szCs w:val="24"/>
        </w:rPr>
        <w:lastRenderedPageBreak/>
        <w:t xml:space="preserve">increases. This company has proven through several recessions to stay on a positive path, leaving proof that this firm is recession resistant. One of the main reasons why they are recession resistant is due to the products they manufacture and sell. People will always need cleaning supplies, polymers, and surfactants, so there is always a demand for these products. The current stock price of Stepan Company is sitting around $81, </w:t>
      </w:r>
      <w:r>
        <w:rPr>
          <w:rFonts w:ascii="Times" w:hAnsi="Times" w:cs="Times New Roman"/>
          <w:color w:val="000000"/>
          <w:sz w:val="24"/>
          <w:szCs w:val="24"/>
        </w:rPr>
        <w:t>the highest it has been since 2012 when it hit $100 per share, and the company decided to do a 2:1 stock split. With the current trend of the stock price for Stepan Company, they are on pace to hit that $100 benchmark again, and could result in another 2:1 stock split very shortly.</w:t>
      </w:r>
      <w:r w:rsidRPr="00F47F88">
        <w:rPr>
          <w:rFonts w:ascii="Times" w:hAnsi="Times" w:cs="Times New Roman"/>
          <w:color w:val="000000"/>
          <w:sz w:val="24"/>
          <w:szCs w:val="24"/>
        </w:rPr>
        <w:t xml:space="preserve"> </w:t>
      </w:r>
    </w:p>
    <w:p w:rsidR="00EC499D" w:rsidRPr="00F47F88" w:rsidRDefault="00EC499D" w:rsidP="00EC499D">
      <w:pPr>
        <w:spacing w:after="0" w:line="480" w:lineRule="auto"/>
        <w:rPr>
          <w:rFonts w:ascii="Times" w:hAnsi="Times" w:cs="Times New Roman"/>
          <w:color w:val="000000"/>
          <w:sz w:val="24"/>
          <w:szCs w:val="24"/>
        </w:rPr>
      </w:pPr>
      <w:r w:rsidRPr="00F47F88">
        <w:rPr>
          <w:rFonts w:ascii="Times" w:hAnsi="Times" w:cs="Times New Roman"/>
          <w:color w:val="000000"/>
          <w:sz w:val="24"/>
          <w:szCs w:val="24"/>
        </w:rPr>
        <w:tab/>
        <w:t xml:space="preserve">Over the past five years, Stepan Company has earned positive revenues, and remains right about the same total in those years. </w:t>
      </w:r>
      <w:r w:rsidRPr="00F47F88">
        <w:rPr>
          <w:rFonts w:ascii="Times" w:hAnsi="Times" w:cs="Times New Roman"/>
          <w:sz w:val="24"/>
          <w:szCs w:val="24"/>
        </w:rPr>
        <w:t>Although there has been a decrease over the past 3 years in total revenue, they are still producing numbers that are very close to one another and are on pace to increase that percentage at the end of 2016.</w:t>
      </w:r>
    </w:p>
    <w:tbl>
      <w:tblPr>
        <w:tblStyle w:val="TableGrid"/>
        <w:tblW w:w="0" w:type="auto"/>
        <w:tblLook w:val="04A0" w:firstRow="1" w:lastRow="0" w:firstColumn="1" w:lastColumn="0" w:noHBand="0" w:noVBand="1"/>
      </w:tblPr>
      <w:tblGrid>
        <w:gridCol w:w="2952"/>
        <w:gridCol w:w="2952"/>
        <w:gridCol w:w="2952"/>
      </w:tblGrid>
      <w:tr w:rsidR="00EC499D" w:rsidRPr="00F47F88" w:rsidTr="00B2030D">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Year</w:t>
            </w:r>
          </w:p>
        </w:tc>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Revenue</w:t>
            </w:r>
          </w:p>
        </w:tc>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Percent Change</w:t>
            </w:r>
          </w:p>
        </w:tc>
      </w:tr>
      <w:tr w:rsidR="00EC499D" w:rsidRPr="00F47F88" w:rsidTr="00B2030D">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2011</w:t>
            </w:r>
          </w:p>
        </w:tc>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46,542</w:t>
            </w:r>
          </w:p>
        </w:tc>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NA</w:t>
            </w:r>
          </w:p>
        </w:tc>
      </w:tr>
      <w:tr w:rsidR="00EC499D" w:rsidRPr="00F47F88" w:rsidTr="00B2030D">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2012</w:t>
            </w:r>
          </w:p>
        </w:tc>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48,017</w:t>
            </w:r>
          </w:p>
        </w:tc>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3.1692%</w:t>
            </w:r>
          </w:p>
        </w:tc>
      </w:tr>
      <w:tr w:rsidR="00EC499D" w:rsidRPr="00F47F88" w:rsidTr="00B2030D">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2013</w:t>
            </w:r>
          </w:p>
        </w:tc>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46,854</w:t>
            </w:r>
          </w:p>
        </w:tc>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-2.4221%</w:t>
            </w:r>
          </w:p>
        </w:tc>
      </w:tr>
      <w:tr w:rsidR="00EC499D" w:rsidRPr="00F47F88" w:rsidTr="00B2030D">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2014</w:t>
            </w:r>
          </w:p>
        </w:tc>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45,998</w:t>
            </w:r>
          </w:p>
        </w:tc>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-1.8270%</w:t>
            </w:r>
          </w:p>
        </w:tc>
      </w:tr>
      <w:tr w:rsidR="00EC499D" w:rsidRPr="00F47F88" w:rsidTr="00B2030D">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2015</w:t>
            </w:r>
          </w:p>
        </w:tc>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44,294</w:t>
            </w:r>
          </w:p>
        </w:tc>
        <w:tc>
          <w:tcPr>
            <w:tcW w:w="2952" w:type="dxa"/>
          </w:tcPr>
          <w:p w:rsidR="00EC499D" w:rsidRPr="00F47F88" w:rsidRDefault="00EC499D" w:rsidP="00B2030D">
            <w:pPr>
              <w:spacing w:line="480" w:lineRule="auto"/>
              <w:rPr>
                <w:rFonts w:ascii="Times" w:hAnsi="Times" w:cs="Times New Roman"/>
                <w:sz w:val="24"/>
                <w:szCs w:val="24"/>
              </w:rPr>
            </w:pPr>
            <w:r w:rsidRPr="00F47F88">
              <w:rPr>
                <w:rFonts w:ascii="Times" w:hAnsi="Times" w:cs="Times New Roman"/>
                <w:sz w:val="24"/>
                <w:szCs w:val="24"/>
              </w:rPr>
              <w:t>-3.7045%</w:t>
            </w:r>
          </w:p>
        </w:tc>
      </w:tr>
    </w:tbl>
    <w:p w:rsidR="00EC499D" w:rsidRPr="00F47F88" w:rsidRDefault="00EC499D" w:rsidP="00EC499D">
      <w:pPr>
        <w:spacing w:after="0"/>
        <w:rPr>
          <w:rFonts w:ascii="Times" w:hAnsi="Times"/>
          <w:b/>
          <w:sz w:val="24"/>
          <w:szCs w:val="24"/>
        </w:rPr>
      </w:pPr>
    </w:p>
    <w:p w:rsidR="00EC499D" w:rsidRDefault="00EC499D" w:rsidP="00EC499D">
      <w:pPr>
        <w:widowControl w:val="0"/>
        <w:autoSpaceDE w:val="0"/>
        <w:autoSpaceDN w:val="0"/>
        <w:adjustRightInd w:val="0"/>
        <w:spacing w:after="0" w:line="300" w:lineRule="atLeast"/>
        <w:rPr>
          <w:rFonts w:ascii="Times" w:hAnsi="Times" w:cs="Arial"/>
          <w:b/>
          <w:sz w:val="24"/>
          <w:szCs w:val="24"/>
        </w:rPr>
      </w:pPr>
    </w:p>
    <w:p w:rsidR="00EC499D" w:rsidRDefault="00EC499D" w:rsidP="00EC499D">
      <w:pPr>
        <w:widowControl w:val="0"/>
        <w:autoSpaceDE w:val="0"/>
        <w:autoSpaceDN w:val="0"/>
        <w:adjustRightInd w:val="0"/>
        <w:spacing w:after="0" w:line="300" w:lineRule="atLeast"/>
        <w:rPr>
          <w:rFonts w:ascii="Times" w:hAnsi="Times" w:cs="Arial"/>
          <w:b/>
          <w:sz w:val="24"/>
          <w:szCs w:val="24"/>
        </w:rPr>
      </w:pPr>
    </w:p>
    <w:p w:rsidR="00EC499D" w:rsidRDefault="00EC499D" w:rsidP="00EC499D">
      <w:pPr>
        <w:widowControl w:val="0"/>
        <w:autoSpaceDE w:val="0"/>
        <w:autoSpaceDN w:val="0"/>
        <w:adjustRightInd w:val="0"/>
        <w:spacing w:after="0" w:line="300" w:lineRule="atLeast"/>
        <w:rPr>
          <w:rFonts w:ascii="Times" w:hAnsi="Times" w:cs="Arial"/>
          <w:b/>
          <w:sz w:val="24"/>
          <w:szCs w:val="24"/>
        </w:rPr>
      </w:pPr>
    </w:p>
    <w:p w:rsidR="00EC499D" w:rsidRDefault="00EC499D" w:rsidP="00EC499D">
      <w:pPr>
        <w:widowControl w:val="0"/>
        <w:autoSpaceDE w:val="0"/>
        <w:autoSpaceDN w:val="0"/>
        <w:adjustRightInd w:val="0"/>
        <w:spacing w:after="0" w:line="300" w:lineRule="atLeast"/>
        <w:rPr>
          <w:rFonts w:ascii="Times" w:hAnsi="Times" w:cs="Arial"/>
          <w:b/>
          <w:sz w:val="24"/>
          <w:szCs w:val="24"/>
        </w:rPr>
      </w:pPr>
      <w:r w:rsidRPr="00F47F88">
        <w:rPr>
          <w:rFonts w:ascii="Times" w:hAnsi="Times" w:cs="Arial"/>
          <w:b/>
          <w:sz w:val="24"/>
          <w:szCs w:val="24"/>
        </w:rPr>
        <w:t>Investment risk</w:t>
      </w:r>
    </w:p>
    <w:p w:rsidR="00EC499D" w:rsidRPr="00F47F88" w:rsidRDefault="00EC499D" w:rsidP="00EC499D">
      <w:pPr>
        <w:widowControl w:val="0"/>
        <w:autoSpaceDE w:val="0"/>
        <w:autoSpaceDN w:val="0"/>
        <w:adjustRightInd w:val="0"/>
        <w:spacing w:after="0" w:line="300" w:lineRule="atLeast"/>
        <w:rPr>
          <w:rFonts w:ascii="Times" w:hAnsi="Times" w:cs="Arial"/>
          <w:b/>
          <w:sz w:val="24"/>
          <w:szCs w:val="24"/>
        </w:rPr>
      </w:pPr>
    </w:p>
    <w:p w:rsidR="00EC499D" w:rsidRDefault="00EC499D" w:rsidP="00EC499D">
      <w:pPr>
        <w:widowControl w:val="0"/>
        <w:autoSpaceDE w:val="0"/>
        <w:autoSpaceDN w:val="0"/>
        <w:adjustRightInd w:val="0"/>
        <w:spacing w:after="0" w:line="480" w:lineRule="auto"/>
        <w:rPr>
          <w:rFonts w:ascii="Times" w:hAnsi="Times" w:cs="Arial"/>
          <w:sz w:val="24"/>
          <w:szCs w:val="24"/>
        </w:rPr>
      </w:pPr>
      <w:r w:rsidRPr="00F47F88">
        <w:rPr>
          <w:rFonts w:ascii="Times" w:hAnsi="Times" w:cs="Arial"/>
          <w:sz w:val="24"/>
          <w:szCs w:val="24"/>
        </w:rPr>
        <w:tab/>
        <w:t xml:space="preserve">There will always be risk in investing in any stock. Stepan Company has many investment risks in which the firm is worried about. High levels of inflation are always a concern for many firms. When inflation begins to increase, the dollar is worth less, and when an individual invests, that person will be purchasing a </w:t>
      </w:r>
      <w:r w:rsidRPr="00F47F88">
        <w:rPr>
          <w:rFonts w:ascii="Times" w:hAnsi="Times" w:cs="Arial"/>
          <w:sz w:val="24"/>
          <w:szCs w:val="24"/>
        </w:rPr>
        <w:lastRenderedPageBreak/>
        <w:t xml:space="preserve">smaller percentage of a good or service due to the dollar not being valued as high. </w:t>
      </w:r>
    </w:p>
    <w:p w:rsidR="00EC499D" w:rsidRPr="00F47F88" w:rsidRDefault="00EC499D" w:rsidP="00EC499D">
      <w:pPr>
        <w:widowControl w:val="0"/>
        <w:autoSpaceDE w:val="0"/>
        <w:autoSpaceDN w:val="0"/>
        <w:adjustRightInd w:val="0"/>
        <w:spacing w:after="0" w:line="480" w:lineRule="auto"/>
        <w:rPr>
          <w:rFonts w:ascii="Times" w:hAnsi="Times" w:cs="Arial"/>
          <w:sz w:val="24"/>
          <w:szCs w:val="24"/>
        </w:rPr>
      </w:pPr>
      <w:r>
        <w:rPr>
          <w:rFonts w:ascii="Times" w:hAnsi="Times" w:cs="Arial"/>
          <w:sz w:val="24"/>
          <w:szCs w:val="24"/>
        </w:rPr>
        <w:tab/>
      </w:r>
      <w:r w:rsidRPr="00F47F88">
        <w:rPr>
          <w:rFonts w:ascii="Times" w:hAnsi="Times" w:cs="Arial"/>
          <w:sz w:val="24"/>
          <w:szCs w:val="24"/>
        </w:rPr>
        <w:t>Fluctuations in foreign currency exchange rates can affect the demand of a product. If this happens, then the profitability in United States dollars gets negatively affected. Also, enforceability and compliances with United States laws can affect operations outside of the United States and can affect the foreign market mightily.</w:t>
      </w:r>
    </w:p>
    <w:p w:rsidR="00EC499D" w:rsidRPr="00F47F88" w:rsidRDefault="00EC499D" w:rsidP="00EC499D">
      <w:pPr>
        <w:widowControl w:val="0"/>
        <w:autoSpaceDE w:val="0"/>
        <w:autoSpaceDN w:val="0"/>
        <w:adjustRightInd w:val="0"/>
        <w:spacing w:after="0" w:line="480" w:lineRule="auto"/>
        <w:rPr>
          <w:rFonts w:ascii="Times" w:hAnsi="Times" w:cs="Arial"/>
          <w:sz w:val="24"/>
          <w:szCs w:val="24"/>
        </w:rPr>
      </w:pPr>
      <w:r w:rsidRPr="00F47F88">
        <w:rPr>
          <w:rFonts w:ascii="Times" w:hAnsi="Times" w:cs="Arial"/>
          <w:sz w:val="24"/>
          <w:szCs w:val="24"/>
        </w:rPr>
        <w:tab/>
        <w:t xml:space="preserve">As far as the international market is concerned, changes in foreign laws, regulations, and tax rates can affect how companies invest or expand their merchandise into the foreign industry. The market can change with respect to the foreign income and may unexpectedly increase the rate at which United States income is taxed, new taxes could be imposed and other additional taxes on remittances, repartition, or other payments by subsidiaries. </w:t>
      </w:r>
    </w:p>
    <w:p w:rsidR="00EC499D" w:rsidRPr="00F47F88" w:rsidRDefault="00EC499D" w:rsidP="00EC499D">
      <w:pPr>
        <w:widowControl w:val="0"/>
        <w:autoSpaceDE w:val="0"/>
        <w:autoSpaceDN w:val="0"/>
        <w:adjustRightInd w:val="0"/>
        <w:spacing w:after="0" w:line="480" w:lineRule="auto"/>
        <w:rPr>
          <w:rFonts w:ascii="Times" w:hAnsi="Times" w:cs="Arial"/>
          <w:sz w:val="24"/>
          <w:szCs w:val="24"/>
        </w:rPr>
      </w:pPr>
      <w:r w:rsidRPr="00F47F88">
        <w:rPr>
          <w:rFonts w:ascii="Times" w:hAnsi="Times" w:cs="Arial"/>
          <w:sz w:val="24"/>
          <w:szCs w:val="24"/>
        </w:rPr>
        <w:tab/>
        <w:t>As with any firm, political, financial, economic, and market conditions can be unstable. With the new president elect, things can change in a matter of time. New presidents mess with the market every four years due to the fact that any president can change the market at any point, and people listen to the media and react according to what the public thinks may be coming. Financial risk is the possibility of shareholders that will lose money when they invest. If nobody invests, then it puts the company at risk sometimes. Economic risk is the possibility of exchange rates, government regulation, or political stability can affect an investment. This can occur in the foreign market as well. Also, Changes in labor conditions and difficulties in staffing and managing international operations is another risk of Stepan Company.</w:t>
      </w:r>
    </w:p>
    <w:p w:rsidR="00EC499D" w:rsidRDefault="00EC499D" w:rsidP="00EC499D">
      <w:pPr>
        <w:widowControl w:val="0"/>
        <w:autoSpaceDE w:val="0"/>
        <w:autoSpaceDN w:val="0"/>
        <w:adjustRightInd w:val="0"/>
        <w:spacing w:after="0" w:line="480" w:lineRule="auto"/>
        <w:rPr>
          <w:rFonts w:ascii="Times" w:hAnsi="Times" w:cs="Arial"/>
          <w:sz w:val="24"/>
          <w:szCs w:val="24"/>
        </w:rPr>
      </w:pPr>
      <w:r w:rsidRPr="00F47F88">
        <w:rPr>
          <w:rFonts w:ascii="Times" w:hAnsi="Times" w:cs="Arial"/>
          <w:sz w:val="24"/>
          <w:szCs w:val="24"/>
        </w:rPr>
        <w:tab/>
        <w:t>Trade and currency restrictions, which include currency exchange controls imposed by foreign countries. This is basically a governmental restriction on the movement of currency between countries. These are put into place by governments and central banks and they restrict the amount foreign currency or local currency in which can be traded or purchased.</w:t>
      </w:r>
    </w:p>
    <w:p w:rsidR="00EC499D" w:rsidRPr="00F47F88" w:rsidRDefault="00EC499D" w:rsidP="00EC499D">
      <w:pPr>
        <w:rPr>
          <w:rFonts w:ascii="Times" w:hAnsi="Times"/>
          <w:sz w:val="24"/>
          <w:szCs w:val="24"/>
        </w:rPr>
      </w:pPr>
    </w:p>
    <w:p w:rsidR="00EC499D" w:rsidRPr="00011E36" w:rsidRDefault="00EC499D" w:rsidP="0094632D">
      <w:pPr>
        <w:spacing w:line="480" w:lineRule="auto"/>
        <w:rPr>
          <w:sz w:val="24"/>
          <w:szCs w:val="24"/>
        </w:rPr>
      </w:pPr>
    </w:p>
    <w:p w:rsidR="0094632D" w:rsidRDefault="0094632D" w:rsidP="0094632D">
      <w:pPr>
        <w:spacing w:line="240" w:lineRule="auto"/>
      </w:pPr>
    </w:p>
    <w:p w:rsidR="0094632D" w:rsidRDefault="0094632D" w:rsidP="0094632D">
      <w:pPr>
        <w:tabs>
          <w:tab w:val="left" w:pos="9900"/>
        </w:tabs>
        <w:spacing w:line="480" w:lineRule="auto"/>
        <w:ind w:firstLine="720"/>
        <w:rPr>
          <w:sz w:val="24"/>
          <w:szCs w:val="24"/>
        </w:rPr>
      </w:pPr>
    </w:p>
    <w:p w:rsidR="00402656" w:rsidRDefault="00402656" w:rsidP="00402656">
      <w:pPr>
        <w:rPr>
          <w:noProof/>
        </w:rPr>
      </w:pPr>
    </w:p>
    <w:p w:rsidR="00402656" w:rsidRDefault="00402656" w:rsidP="00402656">
      <w:pPr>
        <w:jc w:val="center"/>
        <w:rPr>
          <w:noProof/>
        </w:rPr>
      </w:pPr>
    </w:p>
    <w:p w:rsidR="00402656" w:rsidRDefault="00402656" w:rsidP="00402656">
      <w:pPr>
        <w:jc w:val="center"/>
        <w:rPr>
          <w:noProof/>
        </w:rPr>
      </w:pPr>
    </w:p>
    <w:p w:rsidR="00402656" w:rsidRDefault="00402656" w:rsidP="00402656">
      <w:pPr>
        <w:jc w:val="center"/>
        <w:rPr>
          <w:noProof/>
        </w:rPr>
      </w:pPr>
    </w:p>
    <w:p w:rsidR="00402656" w:rsidRDefault="00402656" w:rsidP="00402656">
      <w:pPr>
        <w:jc w:val="center"/>
        <w:rPr>
          <w:noProof/>
        </w:rPr>
      </w:pPr>
    </w:p>
    <w:p w:rsidR="00402656" w:rsidRDefault="00402656" w:rsidP="00402656">
      <w:pPr>
        <w:jc w:val="center"/>
        <w:rPr>
          <w:noProof/>
        </w:rPr>
      </w:pPr>
    </w:p>
    <w:p w:rsidR="00402656" w:rsidRDefault="00402656" w:rsidP="00402656">
      <w:pPr>
        <w:jc w:val="center"/>
        <w:rPr>
          <w:noProof/>
        </w:rPr>
      </w:pPr>
    </w:p>
    <w:p w:rsidR="00402656" w:rsidRDefault="00402656" w:rsidP="00402656">
      <w:pPr>
        <w:jc w:val="center"/>
        <w:rPr>
          <w:noProof/>
        </w:rPr>
      </w:pPr>
    </w:p>
    <w:p w:rsidR="00402656" w:rsidRDefault="00402656" w:rsidP="00402656">
      <w:pPr>
        <w:jc w:val="center"/>
        <w:rPr>
          <w:noProof/>
        </w:rPr>
      </w:pPr>
    </w:p>
    <w:p w:rsidR="00402656" w:rsidRDefault="00402656" w:rsidP="00402656">
      <w:pPr>
        <w:jc w:val="center"/>
        <w:rPr>
          <w:noProof/>
        </w:rPr>
      </w:pPr>
    </w:p>
    <w:p w:rsidR="00402656" w:rsidRDefault="00402656" w:rsidP="00402656">
      <w:pPr>
        <w:jc w:val="center"/>
        <w:rPr>
          <w:noProof/>
        </w:rPr>
      </w:pPr>
    </w:p>
    <w:p w:rsidR="00402656" w:rsidRDefault="00402656" w:rsidP="00402656">
      <w:pPr>
        <w:jc w:val="center"/>
        <w:rPr>
          <w:noProof/>
        </w:rPr>
      </w:pPr>
    </w:p>
    <w:p w:rsidR="00402656" w:rsidRDefault="00402656" w:rsidP="00402656">
      <w:pPr>
        <w:jc w:val="center"/>
        <w:rPr>
          <w:noProof/>
        </w:rPr>
      </w:pPr>
    </w:p>
    <w:p w:rsidR="00402656" w:rsidRDefault="00402656" w:rsidP="00402656">
      <w:pPr>
        <w:jc w:val="center"/>
        <w:rPr>
          <w:noProof/>
        </w:rPr>
      </w:pPr>
    </w:p>
    <w:p w:rsidR="00402656" w:rsidRDefault="00402656" w:rsidP="00402656">
      <w:pPr>
        <w:jc w:val="center"/>
        <w:rPr>
          <w:noProof/>
        </w:rPr>
      </w:pPr>
    </w:p>
    <w:p w:rsidR="00402656" w:rsidRDefault="00402656" w:rsidP="00402656">
      <w:pPr>
        <w:jc w:val="center"/>
        <w:rPr>
          <w:noProof/>
        </w:rPr>
      </w:pPr>
    </w:p>
    <w:p w:rsidR="00402656" w:rsidRDefault="00402656" w:rsidP="00402656">
      <w:pPr>
        <w:jc w:val="center"/>
        <w:rPr>
          <w:noProof/>
        </w:rPr>
      </w:pPr>
    </w:p>
    <w:p w:rsidR="00402656" w:rsidRDefault="00402656" w:rsidP="00402656">
      <w:pPr>
        <w:jc w:val="center"/>
        <w:rPr>
          <w:noProof/>
        </w:rPr>
      </w:pPr>
    </w:p>
    <w:p w:rsidR="00402656" w:rsidRPr="00EA4D76" w:rsidRDefault="00402656" w:rsidP="00402656">
      <w:pPr>
        <w:jc w:val="center"/>
      </w:pPr>
    </w:p>
    <w:p w:rsidR="00CA2BAE" w:rsidRDefault="00CA2BAE"/>
    <w:sectPr w:rsidR="00CA2BAE" w:rsidSect="0040265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03E" w:rsidRDefault="0013003E" w:rsidP="00402656">
      <w:pPr>
        <w:spacing w:after="0" w:line="240" w:lineRule="auto"/>
      </w:pPr>
      <w:r>
        <w:separator/>
      </w:r>
    </w:p>
  </w:endnote>
  <w:endnote w:type="continuationSeparator" w:id="0">
    <w:p w:rsidR="0013003E" w:rsidRDefault="0013003E" w:rsidP="0040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03E" w:rsidRDefault="0013003E" w:rsidP="00402656">
      <w:pPr>
        <w:spacing w:after="0" w:line="240" w:lineRule="auto"/>
      </w:pPr>
      <w:r>
        <w:separator/>
      </w:r>
    </w:p>
  </w:footnote>
  <w:footnote w:type="continuationSeparator" w:id="0">
    <w:p w:rsidR="0013003E" w:rsidRDefault="0013003E" w:rsidP="00402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B755B"/>
    <w:multiLevelType w:val="hybridMultilevel"/>
    <w:tmpl w:val="F2568A1E"/>
    <w:lvl w:ilvl="0" w:tplc="E6BE9678">
      <w:start w:val="2016"/>
      <w:numFmt w:val="bullet"/>
      <w:lvlText w:val=""/>
      <w:lvlJc w:val="left"/>
      <w:pPr>
        <w:ind w:left="8595" w:hanging="360"/>
      </w:pPr>
      <w:rPr>
        <w:rFonts w:ascii="Symbol" w:eastAsiaTheme="minorHAnsi" w:hAnsi="Symbol" w:cstheme="minorBidi" w:hint="default"/>
      </w:rPr>
    </w:lvl>
    <w:lvl w:ilvl="1" w:tplc="04090003" w:tentative="1">
      <w:start w:val="1"/>
      <w:numFmt w:val="bullet"/>
      <w:lvlText w:val="o"/>
      <w:lvlJc w:val="left"/>
      <w:pPr>
        <w:ind w:left="9315" w:hanging="360"/>
      </w:pPr>
      <w:rPr>
        <w:rFonts w:ascii="Courier New" w:hAnsi="Courier New" w:cs="Courier New" w:hint="default"/>
      </w:rPr>
    </w:lvl>
    <w:lvl w:ilvl="2" w:tplc="04090005" w:tentative="1">
      <w:start w:val="1"/>
      <w:numFmt w:val="bullet"/>
      <w:lvlText w:val=""/>
      <w:lvlJc w:val="left"/>
      <w:pPr>
        <w:ind w:left="10035" w:hanging="360"/>
      </w:pPr>
      <w:rPr>
        <w:rFonts w:ascii="Wingdings" w:hAnsi="Wingdings" w:hint="default"/>
      </w:rPr>
    </w:lvl>
    <w:lvl w:ilvl="3" w:tplc="04090001" w:tentative="1">
      <w:start w:val="1"/>
      <w:numFmt w:val="bullet"/>
      <w:lvlText w:val=""/>
      <w:lvlJc w:val="left"/>
      <w:pPr>
        <w:ind w:left="10755" w:hanging="360"/>
      </w:pPr>
      <w:rPr>
        <w:rFonts w:ascii="Symbol" w:hAnsi="Symbol" w:hint="default"/>
      </w:rPr>
    </w:lvl>
    <w:lvl w:ilvl="4" w:tplc="04090003" w:tentative="1">
      <w:start w:val="1"/>
      <w:numFmt w:val="bullet"/>
      <w:lvlText w:val="o"/>
      <w:lvlJc w:val="left"/>
      <w:pPr>
        <w:ind w:left="11475" w:hanging="360"/>
      </w:pPr>
      <w:rPr>
        <w:rFonts w:ascii="Courier New" w:hAnsi="Courier New" w:cs="Courier New" w:hint="default"/>
      </w:rPr>
    </w:lvl>
    <w:lvl w:ilvl="5" w:tplc="04090005" w:tentative="1">
      <w:start w:val="1"/>
      <w:numFmt w:val="bullet"/>
      <w:lvlText w:val=""/>
      <w:lvlJc w:val="left"/>
      <w:pPr>
        <w:ind w:left="12195" w:hanging="360"/>
      </w:pPr>
      <w:rPr>
        <w:rFonts w:ascii="Wingdings" w:hAnsi="Wingdings" w:hint="default"/>
      </w:rPr>
    </w:lvl>
    <w:lvl w:ilvl="6" w:tplc="04090001" w:tentative="1">
      <w:start w:val="1"/>
      <w:numFmt w:val="bullet"/>
      <w:lvlText w:val=""/>
      <w:lvlJc w:val="left"/>
      <w:pPr>
        <w:ind w:left="12915" w:hanging="360"/>
      </w:pPr>
      <w:rPr>
        <w:rFonts w:ascii="Symbol" w:hAnsi="Symbol" w:hint="default"/>
      </w:rPr>
    </w:lvl>
    <w:lvl w:ilvl="7" w:tplc="04090003" w:tentative="1">
      <w:start w:val="1"/>
      <w:numFmt w:val="bullet"/>
      <w:lvlText w:val="o"/>
      <w:lvlJc w:val="left"/>
      <w:pPr>
        <w:ind w:left="13635" w:hanging="360"/>
      </w:pPr>
      <w:rPr>
        <w:rFonts w:ascii="Courier New" w:hAnsi="Courier New" w:cs="Courier New" w:hint="default"/>
      </w:rPr>
    </w:lvl>
    <w:lvl w:ilvl="8" w:tplc="04090005" w:tentative="1">
      <w:start w:val="1"/>
      <w:numFmt w:val="bullet"/>
      <w:lvlText w:val=""/>
      <w:lvlJc w:val="left"/>
      <w:pPr>
        <w:ind w:left="14355" w:hanging="360"/>
      </w:pPr>
      <w:rPr>
        <w:rFonts w:ascii="Wingdings" w:hAnsi="Wingdings" w:hint="default"/>
      </w:rPr>
    </w:lvl>
  </w:abstractNum>
  <w:abstractNum w:abstractNumId="1" w15:restartNumberingAfterBreak="0">
    <w:nsid w:val="508843AB"/>
    <w:multiLevelType w:val="hybridMultilevel"/>
    <w:tmpl w:val="D034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76"/>
    <w:rsid w:val="00031DB4"/>
    <w:rsid w:val="000F446E"/>
    <w:rsid w:val="0013003E"/>
    <w:rsid w:val="001A2D0B"/>
    <w:rsid w:val="001E1D66"/>
    <w:rsid w:val="00402656"/>
    <w:rsid w:val="004861DA"/>
    <w:rsid w:val="00511BA9"/>
    <w:rsid w:val="005B06D3"/>
    <w:rsid w:val="005D7805"/>
    <w:rsid w:val="00636E1E"/>
    <w:rsid w:val="00675250"/>
    <w:rsid w:val="00746B1A"/>
    <w:rsid w:val="007F49BF"/>
    <w:rsid w:val="0094632D"/>
    <w:rsid w:val="00A118BD"/>
    <w:rsid w:val="00BE4567"/>
    <w:rsid w:val="00C15262"/>
    <w:rsid w:val="00C8176E"/>
    <w:rsid w:val="00CA2BAE"/>
    <w:rsid w:val="00DB38CF"/>
    <w:rsid w:val="00E22DE4"/>
    <w:rsid w:val="00EA4D76"/>
    <w:rsid w:val="00EC499D"/>
    <w:rsid w:val="00F750C7"/>
    <w:rsid w:val="00FC436A"/>
    <w:rsid w:val="00FE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87E63-A2F9-4BFD-A300-76402CC6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656"/>
  </w:style>
  <w:style w:type="paragraph" w:styleId="Footer">
    <w:name w:val="footer"/>
    <w:basedOn w:val="Normal"/>
    <w:link w:val="FooterChar"/>
    <w:uiPriority w:val="99"/>
    <w:unhideWhenUsed/>
    <w:rsid w:val="00402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656"/>
  </w:style>
  <w:style w:type="paragraph" w:styleId="ListParagraph">
    <w:name w:val="List Paragraph"/>
    <w:basedOn w:val="Normal"/>
    <w:uiPriority w:val="34"/>
    <w:qFormat/>
    <w:rsid w:val="00636E1E"/>
    <w:pPr>
      <w:ind w:left="720"/>
      <w:contextualSpacing/>
    </w:pPr>
  </w:style>
  <w:style w:type="table" w:customStyle="1" w:styleId="GridTable6Colorful-Accent51">
    <w:name w:val="Grid Table 6 Colorful - Accent 51"/>
    <w:basedOn w:val="TableNormal"/>
    <w:uiPriority w:val="51"/>
    <w:rsid w:val="00EC49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11">
    <w:name w:val="Grid Table 6 Colorful - Accent 11"/>
    <w:basedOn w:val="TableNormal"/>
    <w:uiPriority w:val="51"/>
    <w:rsid w:val="00EC499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52467">
      <w:bodyDiv w:val="1"/>
      <w:marLeft w:val="0"/>
      <w:marRight w:val="0"/>
      <w:marTop w:val="0"/>
      <w:marBottom w:val="0"/>
      <w:divBdr>
        <w:top w:val="none" w:sz="0" w:space="0" w:color="auto"/>
        <w:left w:val="none" w:sz="0" w:space="0" w:color="auto"/>
        <w:bottom w:val="none" w:sz="0" w:space="0" w:color="auto"/>
        <w:right w:val="none" w:sz="0" w:space="0" w:color="auto"/>
      </w:divBdr>
    </w:div>
    <w:div w:id="489096697">
      <w:bodyDiv w:val="1"/>
      <w:marLeft w:val="0"/>
      <w:marRight w:val="0"/>
      <w:marTop w:val="0"/>
      <w:marBottom w:val="0"/>
      <w:divBdr>
        <w:top w:val="none" w:sz="0" w:space="0" w:color="auto"/>
        <w:left w:val="none" w:sz="0" w:space="0" w:color="auto"/>
        <w:bottom w:val="none" w:sz="0" w:space="0" w:color="auto"/>
        <w:right w:val="none" w:sz="0" w:space="0" w:color="auto"/>
      </w:divBdr>
    </w:div>
    <w:div w:id="704184922">
      <w:bodyDiv w:val="1"/>
      <w:marLeft w:val="0"/>
      <w:marRight w:val="0"/>
      <w:marTop w:val="0"/>
      <w:marBottom w:val="0"/>
      <w:divBdr>
        <w:top w:val="none" w:sz="0" w:space="0" w:color="auto"/>
        <w:left w:val="none" w:sz="0" w:space="0" w:color="auto"/>
        <w:bottom w:val="none" w:sz="0" w:space="0" w:color="auto"/>
        <w:right w:val="none" w:sz="0" w:space="0" w:color="auto"/>
      </w:divBdr>
    </w:div>
    <w:div w:id="915821942">
      <w:bodyDiv w:val="1"/>
      <w:marLeft w:val="0"/>
      <w:marRight w:val="0"/>
      <w:marTop w:val="0"/>
      <w:marBottom w:val="0"/>
      <w:divBdr>
        <w:top w:val="none" w:sz="0" w:space="0" w:color="auto"/>
        <w:left w:val="none" w:sz="0" w:space="0" w:color="auto"/>
        <w:bottom w:val="none" w:sz="0" w:space="0" w:color="auto"/>
        <w:right w:val="none" w:sz="0" w:space="0" w:color="auto"/>
      </w:divBdr>
    </w:div>
    <w:div w:id="1183085354">
      <w:bodyDiv w:val="1"/>
      <w:marLeft w:val="0"/>
      <w:marRight w:val="0"/>
      <w:marTop w:val="0"/>
      <w:marBottom w:val="0"/>
      <w:divBdr>
        <w:top w:val="none" w:sz="0" w:space="0" w:color="auto"/>
        <w:left w:val="none" w:sz="0" w:space="0" w:color="auto"/>
        <w:bottom w:val="none" w:sz="0" w:space="0" w:color="auto"/>
        <w:right w:val="none" w:sz="0" w:space="0" w:color="auto"/>
      </w:divBdr>
    </w:div>
    <w:div w:id="1695039570">
      <w:bodyDiv w:val="1"/>
      <w:marLeft w:val="0"/>
      <w:marRight w:val="0"/>
      <w:marTop w:val="0"/>
      <w:marBottom w:val="0"/>
      <w:divBdr>
        <w:top w:val="none" w:sz="0" w:space="0" w:color="auto"/>
        <w:left w:val="none" w:sz="0" w:space="0" w:color="auto"/>
        <w:bottom w:val="none" w:sz="0" w:space="0" w:color="auto"/>
        <w:right w:val="none" w:sz="0" w:space="0" w:color="auto"/>
      </w:divBdr>
    </w:div>
    <w:div w:id="18792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bo5420im\Desktop\Powerpoin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71843089305139E-2"/>
          <c:y val="2.4742268041237112E-2"/>
          <c:w val="0.91155066795322237"/>
          <c:h val="0.80226511892199037"/>
        </c:manualLayout>
      </c:layout>
      <c:lineChart>
        <c:grouping val="standard"/>
        <c:varyColors val="0"/>
        <c:ser>
          <c:idx val="0"/>
          <c:order val="0"/>
          <c:tx>
            <c:strRef>
              <c:f>'[earnings forecast.xlsx]Quaterly Earnings Forecast'!$B$1</c:f>
              <c:strCache>
                <c:ptCount val="1"/>
                <c:pt idx="0">
                  <c:v>Values</c:v>
                </c:pt>
              </c:strCache>
            </c:strRef>
          </c:tx>
          <c:spPr>
            <a:ln w="28575" cap="rnd">
              <a:solidFill>
                <a:schemeClr val="accent1"/>
              </a:solidFill>
              <a:round/>
            </a:ln>
            <a:effectLst/>
          </c:spPr>
          <c:marker>
            <c:symbol val="none"/>
          </c:marker>
          <c:cat>
            <c:strRef>
              <c:f>'[earnings forecast.xlsx]Sheet1'!$C$2:$C$36</c:f>
              <c:strCache>
                <c:ptCount val="35"/>
                <c:pt idx="0">
                  <c:v>2010-1</c:v>
                </c:pt>
                <c:pt idx="1">
                  <c:v>2010-2</c:v>
                </c:pt>
                <c:pt idx="2">
                  <c:v>2010-3</c:v>
                </c:pt>
                <c:pt idx="3">
                  <c:v>2010-4</c:v>
                </c:pt>
                <c:pt idx="4">
                  <c:v>2011-1</c:v>
                </c:pt>
                <c:pt idx="5">
                  <c:v>2011-2</c:v>
                </c:pt>
                <c:pt idx="6">
                  <c:v>2011-3</c:v>
                </c:pt>
                <c:pt idx="7">
                  <c:v>2011-4</c:v>
                </c:pt>
                <c:pt idx="8">
                  <c:v>2012-1</c:v>
                </c:pt>
                <c:pt idx="9">
                  <c:v>2012-2</c:v>
                </c:pt>
                <c:pt idx="10">
                  <c:v>2012-3</c:v>
                </c:pt>
                <c:pt idx="11">
                  <c:v>2012-4</c:v>
                </c:pt>
                <c:pt idx="12">
                  <c:v>2013-1</c:v>
                </c:pt>
                <c:pt idx="13">
                  <c:v>2013-2</c:v>
                </c:pt>
                <c:pt idx="14">
                  <c:v>2013-3</c:v>
                </c:pt>
                <c:pt idx="15">
                  <c:v>2013-4</c:v>
                </c:pt>
                <c:pt idx="16">
                  <c:v>2014-1</c:v>
                </c:pt>
                <c:pt idx="17">
                  <c:v>2014-2</c:v>
                </c:pt>
                <c:pt idx="18">
                  <c:v>2014-3</c:v>
                </c:pt>
                <c:pt idx="19">
                  <c:v>2014-4</c:v>
                </c:pt>
                <c:pt idx="20">
                  <c:v>2015-1</c:v>
                </c:pt>
                <c:pt idx="21">
                  <c:v>2015-2</c:v>
                </c:pt>
                <c:pt idx="22">
                  <c:v>2015-3</c:v>
                </c:pt>
                <c:pt idx="23">
                  <c:v>2015-4</c:v>
                </c:pt>
                <c:pt idx="24">
                  <c:v>2016-1</c:v>
                </c:pt>
                <c:pt idx="25">
                  <c:v>2016-2</c:v>
                </c:pt>
                <c:pt idx="26">
                  <c:v>2016-3</c:v>
                </c:pt>
                <c:pt idx="27">
                  <c:v>2016-4</c:v>
                </c:pt>
                <c:pt idx="28">
                  <c:v>2017-1</c:v>
                </c:pt>
                <c:pt idx="29">
                  <c:v>2017-2</c:v>
                </c:pt>
                <c:pt idx="30">
                  <c:v>2017-3</c:v>
                </c:pt>
                <c:pt idx="31">
                  <c:v>2017-4</c:v>
                </c:pt>
                <c:pt idx="32">
                  <c:v>2018-1</c:v>
                </c:pt>
                <c:pt idx="33">
                  <c:v>2018-2</c:v>
                </c:pt>
                <c:pt idx="34">
                  <c:v>2018-3</c:v>
                </c:pt>
              </c:strCache>
            </c:strRef>
          </c:cat>
          <c:val>
            <c:numRef>
              <c:f>'[earnings forecast.xlsx]Quaterly Earnings Forecast'!$B$2:$B$36</c:f>
              <c:numCache>
                <c:formatCode>_("$"* #,##0.00_);_("$"* \(#,##0.00\);_("$"* "-"??_);_(@_)</c:formatCode>
                <c:ptCount val="35"/>
                <c:pt idx="0">
                  <c:v>20660</c:v>
                </c:pt>
                <c:pt idx="1">
                  <c:v>17046</c:v>
                </c:pt>
                <c:pt idx="2">
                  <c:v>19230</c:v>
                </c:pt>
                <c:pt idx="3">
                  <c:v>8491</c:v>
                </c:pt>
                <c:pt idx="4">
                  <c:v>18761</c:v>
                </c:pt>
                <c:pt idx="5">
                  <c:v>20867</c:v>
                </c:pt>
                <c:pt idx="6">
                  <c:v>19169</c:v>
                </c:pt>
                <c:pt idx="7">
                  <c:v>13179</c:v>
                </c:pt>
                <c:pt idx="8">
                  <c:v>22302</c:v>
                </c:pt>
                <c:pt idx="9">
                  <c:v>21425</c:v>
                </c:pt>
                <c:pt idx="10">
                  <c:v>20230</c:v>
                </c:pt>
                <c:pt idx="11">
                  <c:v>15439</c:v>
                </c:pt>
                <c:pt idx="12">
                  <c:v>19034</c:v>
                </c:pt>
                <c:pt idx="13">
                  <c:v>22742</c:v>
                </c:pt>
                <c:pt idx="14">
                  <c:v>20402</c:v>
                </c:pt>
                <c:pt idx="15">
                  <c:v>10650</c:v>
                </c:pt>
                <c:pt idx="16">
                  <c:v>13018</c:v>
                </c:pt>
                <c:pt idx="17">
                  <c:v>24353</c:v>
                </c:pt>
                <c:pt idx="18">
                  <c:v>13491</c:v>
                </c:pt>
                <c:pt idx="19">
                  <c:v>6239</c:v>
                </c:pt>
                <c:pt idx="20">
                  <c:v>21270</c:v>
                </c:pt>
                <c:pt idx="21">
                  <c:v>16914</c:v>
                </c:pt>
                <c:pt idx="22">
                  <c:v>24912</c:v>
                </c:pt>
                <c:pt idx="23">
                  <c:v>12872</c:v>
                </c:pt>
                <c:pt idx="24">
                  <c:v>27654</c:v>
                </c:pt>
                <c:pt idx="25">
                  <c:v>27865</c:v>
                </c:pt>
                <c:pt idx="26">
                  <c:v>20427</c:v>
                </c:pt>
              </c:numCache>
            </c:numRef>
          </c:val>
          <c:smooth val="0"/>
          <c:extLst xmlns:c16r2="http://schemas.microsoft.com/office/drawing/2015/06/chart">
            <c:ext xmlns:c16="http://schemas.microsoft.com/office/drawing/2014/chart" uri="{C3380CC4-5D6E-409C-BE32-E72D297353CC}">
              <c16:uniqueId val="{00000000-8621-4DC5-AE81-0285D3F640B3}"/>
            </c:ext>
          </c:extLst>
        </c:ser>
        <c:ser>
          <c:idx val="1"/>
          <c:order val="1"/>
          <c:tx>
            <c:strRef>
              <c:f>'[earnings forecast.xlsx]Quaterly Earnings Forecast'!$C$1</c:f>
              <c:strCache>
                <c:ptCount val="1"/>
                <c:pt idx="0">
                  <c:v>Forecast</c:v>
                </c:pt>
              </c:strCache>
            </c:strRef>
          </c:tx>
          <c:spPr>
            <a:ln w="25400" cap="rnd">
              <a:solidFill>
                <a:schemeClr val="accent2"/>
              </a:solidFill>
              <a:round/>
            </a:ln>
            <a:effectLst/>
          </c:spPr>
          <c:marker>
            <c:symbol val="none"/>
          </c:marker>
          <c:cat>
            <c:strRef>
              <c:f>'[earnings forecast.xlsx]Sheet1'!$C$2:$C$36</c:f>
              <c:strCache>
                <c:ptCount val="35"/>
                <c:pt idx="0">
                  <c:v>2010-1</c:v>
                </c:pt>
                <c:pt idx="1">
                  <c:v>2010-2</c:v>
                </c:pt>
                <c:pt idx="2">
                  <c:v>2010-3</c:v>
                </c:pt>
                <c:pt idx="3">
                  <c:v>2010-4</c:v>
                </c:pt>
                <c:pt idx="4">
                  <c:v>2011-1</c:v>
                </c:pt>
                <c:pt idx="5">
                  <c:v>2011-2</c:v>
                </c:pt>
                <c:pt idx="6">
                  <c:v>2011-3</c:v>
                </c:pt>
                <c:pt idx="7">
                  <c:v>2011-4</c:v>
                </c:pt>
                <c:pt idx="8">
                  <c:v>2012-1</c:v>
                </c:pt>
                <c:pt idx="9">
                  <c:v>2012-2</c:v>
                </c:pt>
                <c:pt idx="10">
                  <c:v>2012-3</c:v>
                </c:pt>
                <c:pt idx="11">
                  <c:v>2012-4</c:v>
                </c:pt>
                <c:pt idx="12">
                  <c:v>2013-1</c:v>
                </c:pt>
                <c:pt idx="13">
                  <c:v>2013-2</c:v>
                </c:pt>
                <c:pt idx="14">
                  <c:v>2013-3</c:v>
                </c:pt>
                <c:pt idx="15">
                  <c:v>2013-4</c:v>
                </c:pt>
                <c:pt idx="16">
                  <c:v>2014-1</c:v>
                </c:pt>
                <c:pt idx="17">
                  <c:v>2014-2</c:v>
                </c:pt>
                <c:pt idx="18">
                  <c:v>2014-3</c:v>
                </c:pt>
                <c:pt idx="19">
                  <c:v>2014-4</c:v>
                </c:pt>
                <c:pt idx="20">
                  <c:v>2015-1</c:v>
                </c:pt>
                <c:pt idx="21">
                  <c:v>2015-2</c:v>
                </c:pt>
                <c:pt idx="22">
                  <c:v>2015-3</c:v>
                </c:pt>
                <c:pt idx="23">
                  <c:v>2015-4</c:v>
                </c:pt>
                <c:pt idx="24">
                  <c:v>2016-1</c:v>
                </c:pt>
                <c:pt idx="25">
                  <c:v>2016-2</c:v>
                </c:pt>
                <c:pt idx="26">
                  <c:v>2016-3</c:v>
                </c:pt>
                <c:pt idx="27">
                  <c:v>2016-4</c:v>
                </c:pt>
                <c:pt idx="28">
                  <c:v>2017-1</c:v>
                </c:pt>
                <c:pt idx="29">
                  <c:v>2017-2</c:v>
                </c:pt>
                <c:pt idx="30">
                  <c:v>2017-3</c:v>
                </c:pt>
                <c:pt idx="31">
                  <c:v>2017-4</c:v>
                </c:pt>
                <c:pt idx="32">
                  <c:v>2018-1</c:v>
                </c:pt>
                <c:pt idx="33">
                  <c:v>2018-2</c:v>
                </c:pt>
                <c:pt idx="34">
                  <c:v>2018-3</c:v>
                </c:pt>
              </c:strCache>
            </c:strRef>
          </c:cat>
          <c:val>
            <c:numRef>
              <c:f>'[earnings forecast.xlsx]Quaterly Earnings Forecast'!$C$2:$C$36</c:f>
              <c:numCache>
                <c:formatCode>General</c:formatCode>
                <c:ptCount val="35"/>
                <c:pt idx="26" formatCode="_(&quot;$&quot;* #,##0.00_);_(&quot;$&quot;* \(#,##0.00\);_(&quot;$&quot;* &quot;-&quot;??_);_(@_)">
                  <c:v>20427</c:v>
                </c:pt>
                <c:pt idx="27" formatCode="_(&quot;$&quot;* #,##0.00_);_(&quot;$&quot;* \(#,##0.00\);_(&quot;$&quot;* &quot;-&quot;??_);_(@_)">
                  <c:v>14562.691250526586</c:v>
                </c:pt>
                <c:pt idx="28" formatCode="_(&quot;$&quot;* #,##0.00_);_(&quot;$&quot;* \(#,##0.00\);_(&quot;$&quot;* &quot;-&quot;??_);_(@_)">
                  <c:v>22534.159619919992</c:v>
                </c:pt>
                <c:pt idx="29" formatCode="_(&quot;$&quot;* #,##0.00_);_(&quot;$&quot;* \(#,##0.00\);_(&quot;$&quot;* &quot;-&quot;??_);_(@_)">
                  <c:v>22291.767922074345</c:v>
                </c:pt>
                <c:pt idx="30" formatCode="_(&quot;$&quot;* #,##0.00_);_(&quot;$&quot;* \(#,##0.00\);_(&quot;$&quot;* &quot;-&quot;??_);_(@_)">
                  <c:v>22459.09725004232</c:v>
                </c:pt>
                <c:pt idx="31" formatCode="_(&quot;$&quot;* #,##0.00_);_(&quot;$&quot;* \(#,##0.00\);_(&quot;$&quot;* &quot;-&quot;??_);_(@_)">
                  <c:v>15012.084196489228</c:v>
                </c:pt>
                <c:pt idx="32" formatCode="_(&quot;$&quot;* #,##0.00_);_(&quot;$&quot;* \(#,##0.00\);_(&quot;$&quot;* &quot;-&quot;??_);_(@_)">
                  <c:v>22983.552565882634</c:v>
                </c:pt>
                <c:pt idx="33" formatCode="_(&quot;$&quot;* #,##0.00_);_(&quot;$&quot;* \(#,##0.00\);_(&quot;$&quot;* &quot;-&quot;??_);_(@_)">
                  <c:v>22741.160868036983</c:v>
                </c:pt>
                <c:pt idx="34" formatCode="_(&quot;$&quot;* #,##0.00_);_(&quot;$&quot;* \(#,##0.00\);_(&quot;$&quot;* &quot;-&quot;??_);_(@_)">
                  <c:v>22908.490196004957</c:v>
                </c:pt>
              </c:numCache>
            </c:numRef>
          </c:val>
          <c:smooth val="0"/>
          <c:extLst xmlns:c16r2="http://schemas.microsoft.com/office/drawing/2015/06/chart">
            <c:ext xmlns:c16="http://schemas.microsoft.com/office/drawing/2014/chart" uri="{C3380CC4-5D6E-409C-BE32-E72D297353CC}">
              <c16:uniqueId val="{00000001-8621-4DC5-AE81-0285D3F640B3}"/>
            </c:ext>
          </c:extLst>
        </c:ser>
        <c:ser>
          <c:idx val="2"/>
          <c:order val="2"/>
          <c:tx>
            <c:strRef>
              <c:f>'[earnings forecast.xlsx]Quaterly Earnings Forecast'!$D$1</c:f>
              <c:strCache>
                <c:ptCount val="1"/>
                <c:pt idx="0">
                  <c:v>Lower Confidence Bound</c:v>
                </c:pt>
              </c:strCache>
            </c:strRef>
          </c:tx>
          <c:spPr>
            <a:ln w="12700" cap="rnd">
              <a:solidFill>
                <a:srgbClr val="ED7D31"/>
              </a:solidFill>
              <a:prstDash val="solid"/>
              <a:round/>
            </a:ln>
            <a:effectLst/>
          </c:spPr>
          <c:marker>
            <c:symbol val="none"/>
          </c:marker>
          <c:cat>
            <c:strRef>
              <c:f>'[earnings forecast.xlsx]Sheet1'!$C$2:$C$36</c:f>
              <c:strCache>
                <c:ptCount val="35"/>
                <c:pt idx="0">
                  <c:v>2010-1</c:v>
                </c:pt>
                <c:pt idx="1">
                  <c:v>2010-2</c:v>
                </c:pt>
                <c:pt idx="2">
                  <c:v>2010-3</c:v>
                </c:pt>
                <c:pt idx="3">
                  <c:v>2010-4</c:v>
                </c:pt>
                <c:pt idx="4">
                  <c:v>2011-1</c:v>
                </c:pt>
                <c:pt idx="5">
                  <c:v>2011-2</c:v>
                </c:pt>
                <c:pt idx="6">
                  <c:v>2011-3</c:v>
                </c:pt>
                <c:pt idx="7">
                  <c:v>2011-4</c:v>
                </c:pt>
                <c:pt idx="8">
                  <c:v>2012-1</c:v>
                </c:pt>
                <c:pt idx="9">
                  <c:v>2012-2</c:v>
                </c:pt>
                <c:pt idx="10">
                  <c:v>2012-3</c:v>
                </c:pt>
                <c:pt idx="11">
                  <c:v>2012-4</c:v>
                </c:pt>
                <c:pt idx="12">
                  <c:v>2013-1</c:v>
                </c:pt>
                <c:pt idx="13">
                  <c:v>2013-2</c:v>
                </c:pt>
                <c:pt idx="14">
                  <c:v>2013-3</c:v>
                </c:pt>
                <c:pt idx="15">
                  <c:v>2013-4</c:v>
                </c:pt>
                <c:pt idx="16">
                  <c:v>2014-1</c:v>
                </c:pt>
                <c:pt idx="17">
                  <c:v>2014-2</c:v>
                </c:pt>
                <c:pt idx="18">
                  <c:v>2014-3</c:v>
                </c:pt>
                <c:pt idx="19">
                  <c:v>2014-4</c:v>
                </c:pt>
                <c:pt idx="20">
                  <c:v>2015-1</c:v>
                </c:pt>
                <c:pt idx="21">
                  <c:v>2015-2</c:v>
                </c:pt>
                <c:pt idx="22">
                  <c:v>2015-3</c:v>
                </c:pt>
                <c:pt idx="23">
                  <c:v>2015-4</c:v>
                </c:pt>
                <c:pt idx="24">
                  <c:v>2016-1</c:v>
                </c:pt>
                <c:pt idx="25">
                  <c:v>2016-2</c:v>
                </c:pt>
                <c:pt idx="26">
                  <c:v>2016-3</c:v>
                </c:pt>
                <c:pt idx="27">
                  <c:v>2016-4</c:v>
                </c:pt>
                <c:pt idx="28">
                  <c:v>2017-1</c:v>
                </c:pt>
                <c:pt idx="29">
                  <c:v>2017-2</c:v>
                </c:pt>
                <c:pt idx="30">
                  <c:v>2017-3</c:v>
                </c:pt>
                <c:pt idx="31">
                  <c:v>2017-4</c:v>
                </c:pt>
                <c:pt idx="32">
                  <c:v>2018-1</c:v>
                </c:pt>
                <c:pt idx="33">
                  <c:v>2018-2</c:v>
                </c:pt>
                <c:pt idx="34">
                  <c:v>2018-3</c:v>
                </c:pt>
              </c:strCache>
            </c:strRef>
          </c:cat>
          <c:val>
            <c:numRef>
              <c:f>'[earnings forecast.xlsx]Quaterly Earnings Forecast'!$D$2:$D$36</c:f>
              <c:numCache>
                <c:formatCode>General</c:formatCode>
                <c:ptCount val="35"/>
                <c:pt idx="26" formatCode="_(&quot;$&quot;* #,##0.00_);_(&quot;$&quot;* \(#,##0.00\);_(&quot;$&quot;* &quot;-&quot;??_);_(@_)">
                  <c:v>20427</c:v>
                </c:pt>
                <c:pt idx="27" formatCode="_(&quot;$&quot;* #,##0.00_);_(&quot;$&quot;* \(#,##0.00\);_(&quot;$&quot;* &quot;-&quot;??_);_(@_)">
                  <c:v>7204.4694267735949</c:v>
                </c:pt>
                <c:pt idx="28" formatCode="_(&quot;$&quot;* #,##0.00_);_(&quot;$&quot;* \(#,##0.00\);_(&quot;$&quot;* &quot;-&quot;??_);_(@_)">
                  <c:v>15116.834781115893</c:v>
                </c:pt>
                <c:pt idx="29" formatCode="_(&quot;$&quot;* #,##0.00_);_(&quot;$&quot;* \(#,##0.00\);_(&quot;$&quot;* &quot;-&quot;??_);_(@_)">
                  <c:v>14814.883965814917</c:v>
                </c:pt>
                <c:pt idx="30" formatCode="_(&quot;$&quot;* #,##0.00_);_(&quot;$&quot;* \(#,##0.00\);_(&quot;$&quot;* &quot;-&quot;??_);_(@_)">
                  <c:v>14922.201702968596</c:v>
                </c:pt>
                <c:pt idx="31" formatCode="_(&quot;$&quot;* #,##0.00_);_(&quot;$&quot;* \(#,##0.00\);_(&quot;$&quot;* &quot;-&quot;??_);_(@_)">
                  <c:v>7413.7982146113545</c:v>
                </c:pt>
                <c:pt idx="32" formatCode="_(&quot;$&quot;* #,##0.00_);_(&quot;$&quot;* \(#,##0.00\);_(&quot;$&quot;* &quot;-&quot;??_);_(@_)">
                  <c:v>15324.368194338635</c:v>
                </c:pt>
                <c:pt idx="33" formatCode="_(&quot;$&quot;* #,##0.00_);_(&quot;$&quot;* \(#,##0.00\);_(&quot;$&quot;* &quot;-&quot;??_);_(@_)">
                  <c:v>15020.636252839056</c:v>
                </c:pt>
                <c:pt idx="34" formatCode="_(&quot;$&quot;* #,##0.00_);_(&quot;$&quot;* \(#,##0.00\);_(&quot;$&quot;* &quot;-&quot;??_);_(@_)">
                  <c:v>15126.186974016089</c:v>
                </c:pt>
              </c:numCache>
            </c:numRef>
          </c:val>
          <c:smooth val="0"/>
          <c:extLst xmlns:c16r2="http://schemas.microsoft.com/office/drawing/2015/06/chart">
            <c:ext xmlns:c16="http://schemas.microsoft.com/office/drawing/2014/chart" uri="{C3380CC4-5D6E-409C-BE32-E72D297353CC}">
              <c16:uniqueId val="{00000002-8621-4DC5-AE81-0285D3F640B3}"/>
            </c:ext>
          </c:extLst>
        </c:ser>
        <c:ser>
          <c:idx val="3"/>
          <c:order val="3"/>
          <c:tx>
            <c:strRef>
              <c:f>'[earnings forecast.xlsx]Quaterly Earnings Forecast'!$E$1</c:f>
              <c:strCache>
                <c:ptCount val="1"/>
                <c:pt idx="0">
                  <c:v>Upper Confidence Bound</c:v>
                </c:pt>
              </c:strCache>
            </c:strRef>
          </c:tx>
          <c:spPr>
            <a:ln w="12700" cap="rnd">
              <a:solidFill>
                <a:srgbClr val="ED7D31"/>
              </a:solidFill>
              <a:prstDash val="solid"/>
              <a:round/>
            </a:ln>
            <a:effectLst/>
          </c:spPr>
          <c:marker>
            <c:symbol val="none"/>
          </c:marker>
          <c:cat>
            <c:strRef>
              <c:f>'[earnings forecast.xlsx]Sheet1'!$C$2:$C$36</c:f>
              <c:strCache>
                <c:ptCount val="35"/>
                <c:pt idx="0">
                  <c:v>2010-1</c:v>
                </c:pt>
                <c:pt idx="1">
                  <c:v>2010-2</c:v>
                </c:pt>
                <c:pt idx="2">
                  <c:v>2010-3</c:v>
                </c:pt>
                <c:pt idx="3">
                  <c:v>2010-4</c:v>
                </c:pt>
                <c:pt idx="4">
                  <c:v>2011-1</c:v>
                </c:pt>
                <c:pt idx="5">
                  <c:v>2011-2</c:v>
                </c:pt>
                <c:pt idx="6">
                  <c:v>2011-3</c:v>
                </c:pt>
                <c:pt idx="7">
                  <c:v>2011-4</c:v>
                </c:pt>
                <c:pt idx="8">
                  <c:v>2012-1</c:v>
                </c:pt>
                <c:pt idx="9">
                  <c:v>2012-2</c:v>
                </c:pt>
                <c:pt idx="10">
                  <c:v>2012-3</c:v>
                </c:pt>
                <c:pt idx="11">
                  <c:v>2012-4</c:v>
                </c:pt>
                <c:pt idx="12">
                  <c:v>2013-1</c:v>
                </c:pt>
                <c:pt idx="13">
                  <c:v>2013-2</c:v>
                </c:pt>
                <c:pt idx="14">
                  <c:v>2013-3</c:v>
                </c:pt>
                <c:pt idx="15">
                  <c:v>2013-4</c:v>
                </c:pt>
                <c:pt idx="16">
                  <c:v>2014-1</c:v>
                </c:pt>
                <c:pt idx="17">
                  <c:v>2014-2</c:v>
                </c:pt>
                <c:pt idx="18">
                  <c:v>2014-3</c:v>
                </c:pt>
                <c:pt idx="19">
                  <c:v>2014-4</c:v>
                </c:pt>
                <c:pt idx="20">
                  <c:v>2015-1</c:v>
                </c:pt>
                <c:pt idx="21">
                  <c:v>2015-2</c:v>
                </c:pt>
                <c:pt idx="22">
                  <c:v>2015-3</c:v>
                </c:pt>
                <c:pt idx="23">
                  <c:v>2015-4</c:v>
                </c:pt>
                <c:pt idx="24">
                  <c:v>2016-1</c:v>
                </c:pt>
                <c:pt idx="25">
                  <c:v>2016-2</c:v>
                </c:pt>
                <c:pt idx="26">
                  <c:v>2016-3</c:v>
                </c:pt>
                <c:pt idx="27">
                  <c:v>2016-4</c:v>
                </c:pt>
                <c:pt idx="28">
                  <c:v>2017-1</c:v>
                </c:pt>
                <c:pt idx="29">
                  <c:v>2017-2</c:v>
                </c:pt>
                <c:pt idx="30">
                  <c:v>2017-3</c:v>
                </c:pt>
                <c:pt idx="31">
                  <c:v>2017-4</c:v>
                </c:pt>
                <c:pt idx="32">
                  <c:v>2018-1</c:v>
                </c:pt>
                <c:pt idx="33">
                  <c:v>2018-2</c:v>
                </c:pt>
                <c:pt idx="34">
                  <c:v>2018-3</c:v>
                </c:pt>
              </c:strCache>
            </c:strRef>
          </c:cat>
          <c:val>
            <c:numRef>
              <c:f>'[earnings forecast.xlsx]Quaterly Earnings Forecast'!$E$2:$E$36</c:f>
              <c:numCache>
                <c:formatCode>General</c:formatCode>
                <c:ptCount val="35"/>
                <c:pt idx="26" formatCode="_(&quot;$&quot;* #,##0.00_);_(&quot;$&quot;* \(#,##0.00\);_(&quot;$&quot;* &quot;-&quot;??_);_(@_)">
                  <c:v>20427</c:v>
                </c:pt>
                <c:pt idx="27" formatCode="_(&quot;$&quot;* #,##0.00_);_(&quot;$&quot;* \(#,##0.00\);_(&quot;$&quot;* &quot;-&quot;??_);_(@_)">
                  <c:v>21920.913074279579</c:v>
                </c:pt>
                <c:pt idx="28" formatCode="_(&quot;$&quot;* #,##0.00_);_(&quot;$&quot;* \(#,##0.00\);_(&quot;$&quot;* &quot;-&quot;??_);_(@_)">
                  <c:v>29951.484458724091</c:v>
                </c:pt>
                <c:pt idx="29" formatCode="_(&quot;$&quot;* #,##0.00_);_(&quot;$&quot;* \(#,##0.00\);_(&quot;$&quot;* &quot;-&quot;??_);_(@_)">
                  <c:v>29768.651878333774</c:v>
                </c:pt>
                <c:pt idx="30" formatCode="_(&quot;$&quot;* #,##0.00_);_(&quot;$&quot;* \(#,##0.00\);_(&quot;$&quot;* &quot;-&quot;??_);_(@_)">
                  <c:v>29995.992797116043</c:v>
                </c:pt>
                <c:pt idx="31" formatCode="_(&quot;$&quot;* #,##0.00_);_(&quot;$&quot;* \(#,##0.00\);_(&quot;$&quot;* &quot;-&quot;??_);_(@_)">
                  <c:v>22610.370178367102</c:v>
                </c:pt>
                <c:pt idx="32" formatCode="_(&quot;$&quot;* #,##0.00_);_(&quot;$&quot;* \(#,##0.00\);_(&quot;$&quot;* &quot;-&quot;??_);_(@_)">
                  <c:v>30642.736937426635</c:v>
                </c:pt>
                <c:pt idx="33" formatCode="_(&quot;$&quot;* #,##0.00_);_(&quot;$&quot;* \(#,##0.00\);_(&quot;$&quot;* &quot;-&quot;??_);_(@_)">
                  <c:v>30461.685483234909</c:v>
                </c:pt>
                <c:pt idx="34" formatCode="_(&quot;$&quot;* #,##0.00_);_(&quot;$&quot;* \(#,##0.00\);_(&quot;$&quot;* &quot;-&quot;??_);_(@_)">
                  <c:v>30690.793417993824</c:v>
                </c:pt>
              </c:numCache>
            </c:numRef>
          </c:val>
          <c:smooth val="0"/>
          <c:extLst xmlns:c16r2="http://schemas.microsoft.com/office/drawing/2015/06/chart">
            <c:ext xmlns:c16="http://schemas.microsoft.com/office/drawing/2014/chart" uri="{C3380CC4-5D6E-409C-BE32-E72D297353CC}">
              <c16:uniqueId val="{00000003-8621-4DC5-AE81-0285D3F640B3}"/>
            </c:ext>
          </c:extLst>
        </c:ser>
        <c:dLbls>
          <c:showLegendKey val="0"/>
          <c:showVal val="0"/>
          <c:showCatName val="0"/>
          <c:showSerName val="0"/>
          <c:showPercent val="0"/>
          <c:showBubbleSize val="0"/>
        </c:dLbls>
        <c:smooth val="0"/>
        <c:axId val="367972032"/>
        <c:axId val="367972816"/>
      </c:lineChart>
      <c:catAx>
        <c:axId val="3679720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972816"/>
        <c:crosses val="autoZero"/>
        <c:auto val="1"/>
        <c:lblAlgn val="ctr"/>
        <c:lblOffset val="100"/>
        <c:noMultiLvlLbl val="0"/>
      </c:catAx>
      <c:valAx>
        <c:axId val="36797281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972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Sales by Product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Sheet1!$A$6:$A$8</c:f>
              <c:strCache>
                <c:ptCount val="3"/>
                <c:pt idx="0">
                  <c:v>Surfactant</c:v>
                </c:pt>
                <c:pt idx="1">
                  <c:v>Polymers</c:v>
                </c:pt>
                <c:pt idx="2">
                  <c:v>Specialty Products</c:v>
                </c:pt>
              </c:strCache>
            </c:strRef>
          </c:cat>
          <c:val>
            <c:numRef>
              <c:f>Sheet1!$B$6:$B$8</c:f>
              <c:numCache>
                <c:formatCode>_("$"* #,##0.00_);_("$"* \(#,##0.00\);_("$"* "-"??_);_(@_)</c:formatCode>
                <c:ptCount val="3"/>
                <c:pt idx="0">
                  <c:v>1205849</c:v>
                </c:pt>
                <c:pt idx="1">
                  <c:v>491488</c:v>
                </c:pt>
                <c:pt idx="2">
                  <c:v>78830</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cap="none" spc="50" baseline="0">
                <a:solidFill>
                  <a:schemeClr val="tx1">
                    <a:lumMod val="65000"/>
                    <a:lumOff val="35000"/>
                  </a:schemeClr>
                </a:solidFill>
                <a:latin typeface="+mn-lt"/>
                <a:ea typeface="+mn-ea"/>
                <a:cs typeface="+mn-cs"/>
              </a:defRPr>
            </a:pPr>
            <a:r>
              <a:rPr lang="en-US"/>
              <a:t>Ratios</a:t>
            </a:r>
          </a:p>
        </c:rich>
      </c:tx>
      <c:overlay val="0"/>
      <c:spPr>
        <a:noFill/>
        <a:ln>
          <a:noFill/>
        </a:ln>
        <a:effectLst/>
      </c:spPr>
    </c:title>
    <c:autoTitleDeleted val="0"/>
    <c:plotArea>
      <c:layout/>
      <c:barChart>
        <c:barDir val="bar"/>
        <c:grouping val="clustered"/>
        <c:varyColors val="0"/>
        <c:ser>
          <c:idx val="0"/>
          <c:order val="0"/>
          <c:tx>
            <c:strRef>
              <c:f>Sheet1!$A$9</c:f>
              <c:strCache>
                <c:ptCount val="1"/>
                <c:pt idx="0">
                  <c:v>Price to Book</c:v>
                </c:pt>
              </c:strCache>
            </c:strRef>
          </c:tx>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Sheet1!$B$8:$D$8</c:f>
              <c:strCache>
                <c:ptCount val="3"/>
                <c:pt idx="0">
                  <c:v>Huntsman</c:v>
                </c:pt>
                <c:pt idx="1">
                  <c:v>Koppers</c:v>
                </c:pt>
                <c:pt idx="2">
                  <c:v>Stepan</c:v>
                </c:pt>
              </c:strCache>
            </c:strRef>
          </c:cat>
          <c:val>
            <c:numRef>
              <c:f>Sheet1!$B$9:$D$9</c:f>
              <c:numCache>
                <c:formatCode>General</c:formatCode>
                <c:ptCount val="3"/>
                <c:pt idx="0">
                  <c:v>2.88</c:v>
                </c:pt>
                <c:pt idx="1">
                  <c:v>41.09</c:v>
                </c:pt>
                <c:pt idx="2">
                  <c:v>2.81</c:v>
                </c:pt>
              </c:numCache>
            </c:numRef>
          </c:val>
        </c:ser>
        <c:ser>
          <c:idx val="1"/>
          <c:order val="1"/>
          <c:tx>
            <c:strRef>
              <c:f>Sheet1!$A$10</c:f>
              <c:strCache>
                <c:ptCount val="1"/>
                <c:pt idx="0">
                  <c:v>Price to Earnings</c:v>
                </c:pt>
              </c:strCache>
            </c:strRef>
          </c:tx>
          <c:spPr>
            <a:noFill/>
            <a:ln w="25400" cap="flat" cmpd="sng" algn="ctr">
              <a:solidFill>
                <a:schemeClr val="accent2"/>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Sheet1!$B$8:$D$8</c:f>
              <c:strCache>
                <c:ptCount val="3"/>
                <c:pt idx="0">
                  <c:v>Huntsman</c:v>
                </c:pt>
                <c:pt idx="1">
                  <c:v>Koppers</c:v>
                </c:pt>
                <c:pt idx="2">
                  <c:v>Stepan</c:v>
                </c:pt>
              </c:strCache>
            </c:strRef>
          </c:cat>
          <c:val>
            <c:numRef>
              <c:f>Sheet1!$B$10:$D$10</c:f>
              <c:numCache>
                <c:formatCode>General</c:formatCode>
                <c:ptCount val="3"/>
                <c:pt idx="0">
                  <c:v>22.89</c:v>
                </c:pt>
                <c:pt idx="1">
                  <c:v>-12.83</c:v>
                </c:pt>
                <c:pt idx="2">
                  <c:v>20.67</c:v>
                </c:pt>
              </c:numCache>
            </c:numRef>
          </c:val>
        </c:ser>
        <c:ser>
          <c:idx val="2"/>
          <c:order val="2"/>
          <c:tx>
            <c:strRef>
              <c:f>Sheet1!$A$11</c:f>
              <c:strCache>
                <c:ptCount val="1"/>
                <c:pt idx="0">
                  <c:v>Price to Sales</c:v>
                </c:pt>
              </c:strCache>
            </c:strRef>
          </c:tx>
          <c:spPr>
            <a:noFill/>
            <a:ln w="25400" cap="flat" cmpd="sng" algn="ctr">
              <a:solidFill>
                <a:schemeClr val="accent3"/>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Sheet1!$B$8:$D$8</c:f>
              <c:strCache>
                <c:ptCount val="3"/>
                <c:pt idx="0">
                  <c:v>Huntsman</c:v>
                </c:pt>
                <c:pt idx="1">
                  <c:v>Koppers</c:v>
                </c:pt>
                <c:pt idx="2">
                  <c:v>Stepan</c:v>
                </c:pt>
              </c:strCache>
            </c:strRef>
          </c:cat>
          <c:val>
            <c:numRef>
              <c:f>Sheet1!$B$11:$D$11</c:f>
              <c:numCache>
                <c:formatCode>General</c:formatCode>
                <c:ptCount val="3"/>
                <c:pt idx="0">
                  <c:v>0.48</c:v>
                </c:pt>
                <c:pt idx="1">
                  <c:v>0.56999999999999995</c:v>
                </c:pt>
                <c:pt idx="2">
                  <c:v>1.02</c:v>
                </c:pt>
              </c:numCache>
            </c:numRef>
          </c:val>
        </c:ser>
        <c:ser>
          <c:idx val="3"/>
          <c:order val="3"/>
          <c:tx>
            <c:strRef>
              <c:f>Sheet1!$A$12</c:f>
              <c:strCache>
                <c:ptCount val="1"/>
                <c:pt idx="0">
                  <c:v>Current Ratio </c:v>
                </c:pt>
              </c:strCache>
            </c:strRef>
          </c:tx>
          <c:spPr>
            <a:noFill/>
            <a:ln w="25400" cap="flat" cmpd="sng" algn="ctr">
              <a:solidFill>
                <a:schemeClr val="accent4"/>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Sheet1!$B$8:$D$8</c:f>
              <c:strCache>
                <c:ptCount val="3"/>
                <c:pt idx="0">
                  <c:v>Huntsman</c:v>
                </c:pt>
                <c:pt idx="1">
                  <c:v>Koppers</c:v>
                </c:pt>
                <c:pt idx="2">
                  <c:v>Stepan</c:v>
                </c:pt>
              </c:strCache>
            </c:strRef>
          </c:cat>
          <c:val>
            <c:numRef>
              <c:f>Sheet1!$B$12:$D$12</c:f>
              <c:numCache>
                <c:formatCode>General</c:formatCode>
                <c:ptCount val="3"/>
                <c:pt idx="0">
                  <c:v>2.12</c:v>
                </c:pt>
                <c:pt idx="1">
                  <c:v>1.57</c:v>
                </c:pt>
                <c:pt idx="2">
                  <c:v>2.85</c:v>
                </c:pt>
              </c:numCache>
            </c:numRef>
          </c:val>
        </c:ser>
        <c:ser>
          <c:idx val="4"/>
          <c:order val="4"/>
          <c:tx>
            <c:strRef>
              <c:f>Sheet1!$A$13</c:f>
              <c:strCache>
                <c:ptCount val="1"/>
                <c:pt idx="0">
                  <c:v>Payout Ratio</c:v>
                </c:pt>
              </c:strCache>
            </c:strRef>
          </c:tx>
          <c:spPr>
            <a:noFill/>
            <a:ln w="25400" cap="flat" cmpd="sng" algn="ctr">
              <a:solidFill>
                <a:schemeClr val="accent5"/>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Sheet1!$B$8:$D$8</c:f>
              <c:strCache>
                <c:ptCount val="3"/>
                <c:pt idx="0">
                  <c:v>Huntsman</c:v>
                </c:pt>
                <c:pt idx="1">
                  <c:v>Koppers</c:v>
                </c:pt>
                <c:pt idx="2">
                  <c:v>Stepan</c:v>
                </c:pt>
              </c:strCache>
            </c:strRef>
          </c:cat>
          <c:val>
            <c:numRef>
              <c:f>Sheet1!$B$13:$D$13</c:f>
              <c:numCache>
                <c:formatCode>General</c:formatCode>
                <c:ptCount val="3"/>
                <c:pt idx="0" formatCode="0.00%">
                  <c:v>0.58460000000000001</c:v>
                </c:pt>
                <c:pt idx="1">
                  <c:v>0</c:v>
                </c:pt>
                <c:pt idx="2" formatCode="0.00%">
                  <c:v>0.19639999999999999</c:v>
                </c:pt>
              </c:numCache>
            </c:numRef>
          </c:val>
        </c:ser>
        <c:ser>
          <c:idx val="5"/>
          <c:order val="5"/>
          <c:tx>
            <c:strRef>
              <c:f>Sheet1!$A$14</c:f>
              <c:strCache>
                <c:ptCount val="1"/>
                <c:pt idx="0">
                  <c:v>Div yield</c:v>
                </c:pt>
              </c:strCache>
            </c:strRef>
          </c:tx>
          <c:spPr>
            <a:noFill/>
            <a:ln w="25400" cap="flat" cmpd="sng" algn="ctr">
              <a:solidFill>
                <a:schemeClr val="accent6"/>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Sheet1!$B$8:$D$8</c:f>
              <c:strCache>
                <c:ptCount val="3"/>
                <c:pt idx="0">
                  <c:v>Huntsman</c:v>
                </c:pt>
                <c:pt idx="1">
                  <c:v>Koppers</c:v>
                </c:pt>
                <c:pt idx="2">
                  <c:v>Stepan</c:v>
                </c:pt>
              </c:strCache>
            </c:strRef>
          </c:cat>
          <c:val>
            <c:numRef>
              <c:f>Sheet1!$B$14:$D$14</c:f>
              <c:numCache>
                <c:formatCode>General</c:formatCode>
                <c:ptCount val="3"/>
                <c:pt idx="0" formatCode="0.00%">
                  <c:v>2.5899999999999999E-2</c:v>
                </c:pt>
                <c:pt idx="1">
                  <c:v>0</c:v>
                </c:pt>
                <c:pt idx="2" formatCode="0.00%">
                  <c:v>1.0200000000000001E-2</c:v>
                </c:pt>
              </c:numCache>
            </c:numRef>
          </c:val>
        </c:ser>
        <c:ser>
          <c:idx val="6"/>
          <c:order val="6"/>
          <c:tx>
            <c:strRef>
              <c:f>Sheet1!$A$15</c:f>
              <c:strCache>
                <c:ptCount val="1"/>
                <c:pt idx="0">
                  <c:v>PEG Ratio</c:v>
                </c:pt>
              </c:strCache>
            </c:strRef>
          </c:tx>
          <c:spPr>
            <a:noFill/>
            <a:ln w="25400" cap="flat" cmpd="sng" algn="ctr">
              <a:solidFill>
                <a:schemeClr val="accent1">
                  <a:lumMod val="60000"/>
                </a:schemeClr>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Sheet1!$B$8:$D$8</c:f>
              <c:strCache>
                <c:ptCount val="3"/>
                <c:pt idx="0">
                  <c:v>Huntsman</c:v>
                </c:pt>
                <c:pt idx="1">
                  <c:v>Koppers</c:v>
                </c:pt>
                <c:pt idx="2">
                  <c:v>Stepan</c:v>
                </c:pt>
              </c:strCache>
            </c:strRef>
          </c:cat>
          <c:val>
            <c:numRef>
              <c:f>Sheet1!$B$15:$D$15</c:f>
              <c:numCache>
                <c:formatCode>General</c:formatCode>
                <c:ptCount val="3"/>
                <c:pt idx="0">
                  <c:v>1.79</c:v>
                </c:pt>
                <c:pt idx="1">
                  <c:v>0</c:v>
                </c:pt>
                <c:pt idx="2">
                  <c:v>0.98</c:v>
                </c:pt>
              </c:numCache>
            </c:numRef>
          </c:val>
        </c:ser>
        <c:dLbls>
          <c:showLegendKey val="0"/>
          <c:showVal val="0"/>
          <c:showCatName val="0"/>
          <c:showSerName val="0"/>
          <c:showPercent val="0"/>
          <c:showBubbleSize val="0"/>
        </c:dLbls>
        <c:gapWidth val="227"/>
        <c:overlap val="-48"/>
        <c:axId val="507217928"/>
        <c:axId val="507218320"/>
      </c:barChart>
      <c:catAx>
        <c:axId val="50721792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507218320"/>
        <c:crosses val="autoZero"/>
        <c:auto val="1"/>
        <c:lblAlgn val="ctr"/>
        <c:lblOffset val="100"/>
        <c:noMultiLvlLbl val="0"/>
      </c:catAx>
      <c:valAx>
        <c:axId val="507218320"/>
        <c:scaling>
          <c:orientation val="minMax"/>
          <c:max val="45"/>
          <c:min val="-16"/>
        </c:scaling>
        <c:delete val="0"/>
        <c:axPos val="b"/>
        <c:numFmt formatCode="General" sourceLinked="1"/>
        <c:majorTickMark val="none"/>
        <c:minorTickMark val="none"/>
        <c:tickLblPos val="nextTo"/>
        <c:spPr>
          <a:noFill/>
          <a:ln w="9525">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5072179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16</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22729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Obed</dc:creator>
  <cp:keywords/>
  <dc:description/>
  <cp:lastModifiedBy>JeanBaptiste, Obed</cp:lastModifiedBy>
  <cp:revision>2</cp:revision>
  <dcterms:created xsi:type="dcterms:W3CDTF">2016-12-07T15:03:00Z</dcterms:created>
  <dcterms:modified xsi:type="dcterms:W3CDTF">2016-12-07T15:03:00Z</dcterms:modified>
</cp:coreProperties>
</file>